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8D3B8">
      <w:pPr>
        <w:spacing w:line="460" w:lineRule="exact"/>
        <w:ind w:firstLine="0" w:firstLineChars="0"/>
        <w:jc w:val="center"/>
        <w:rPr>
          <w:rFonts w:hint="default" w:ascii="宋体" w:hAnsi="宋体" w:eastAsia="宋体" w:cs="宋体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2026年度行业高质量发展调研问卷</w:t>
      </w:r>
    </w:p>
    <w:p w14:paraId="4DE32047">
      <w:pPr>
        <w:spacing w:line="46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全面了解行业企业生产经营与转型发展等情况，为行业高质量发展工作提供支撑，为企业生产经营决策提供参考，</w:t>
      </w:r>
      <w:r>
        <w:rPr>
          <w:rFonts w:hint="eastAsia" w:ascii="宋体" w:hAnsi="宋体" w:eastAsia="宋体" w:cs="宋体"/>
          <w:sz w:val="24"/>
          <w:szCs w:val="24"/>
        </w:rPr>
        <w:t>结合国家政策导向、行业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高质量发展重点工作及</w:t>
      </w:r>
      <w:r>
        <w:rPr>
          <w:rFonts w:hint="eastAsia" w:ascii="宋体" w:hAnsi="宋体" w:eastAsia="宋体" w:cs="宋体"/>
          <w:sz w:val="24"/>
          <w:szCs w:val="24"/>
        </w:rPr>
        <w:t>企业实际情况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根据协会202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年行业企业调研工作计划，特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开展本次高质量发展调研，</w:t>
      </w:r>
      <w:r>
        <w:rPr>
          <w:rFonts w:hint="eastAsia" w:ascii="宋体" w:hAnsi="宋体" w:eastAsia="宋体" w:cs="宋体"/>
          <w:sz w:val="24"/>
          <w:szCs w:val="24"/>
        </w:rPr>
        <w:t>调研内容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如下</w:t>
      </w:r>
      <w:r>
        <w:rPr>
          <w:rFonts w:hint="eastAsia" w:ascii="宋体" w:hAnsi="宋体" w:eastAsia="宋体" w:cs="宋体"/>
          <w:sz w:val="24"/>
          <w:szCs w:val="24"/>
        </w:rPr>
        <w:t>。请会员企业积极配合调研工作，对相关内容据实、完整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填</w:t>
      </w:r>
      <w:r>
        <w:rPr>
          <w:rFonts w:hint="eastAsia" w:ascii="宋体" w:hAnsi="宋体" w:eastAsia="宋体" w:cs="宋体"/>
          <w:sz w:val="24"/>
          <w:szCs w:val="24"/>
        </w:rPr>
        <w:t>报。</w:t>
      </w:r>
    </w:p>
    <w:p w14:paraId="28246644">
      <w:pPr>
        <w:spacing w:line="46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协会承诺，对企业所提供的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个体</w:t>
      </w:r>
      <w:r>
        <w:rPr>
          <w:rFonts w:hint="eastAsia" w:ascii="宋体" w:hAnsi="宋体" w:eastAsia="宋体" w:cs="宋体"/>
          <w:sz w:val="24"/>
          <w:szCs w:val="24"/>
        </w:rPr>
        <w:t>数据和反馈信息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保密</w:t>
      </w:r>
      <w:r>
        <w:rPr>
          <w:rFonts w:hint="eastAsia" w:ascii="宋体" w:hAnsi="宋体" w:eastAsia="宋体" w:cs="宋体"/>
          <w:sz w:val="24"/>
          <w:szCs w:val="24"/>
        </w:rPr>
        <w:t>，不向任何第三方透露，不在协会媒体或社会媒体上发布，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仅</w:t>
      </w:r>
      <w:r>
        <w:rPr>
          <w:rFonts w:hint="eastAsia" w:ascii="宋体" w:hAnsi="宋体" w:eastAsia="宋体" w:cs="宋体"/>
          <w:sz w:val="24"/>
          <w:szCs w:val="24"/>
        </w:rPr>
        <w:t>共享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行业</w:t>
      </w:r>
      <w:r>
        <w:rPr>
          <w:rFonts w:hint="eastAsia" w:ascii="宋体" w:hAnsi="宋体" w:eastAsia="宋体" w:cs="宋体"/>
          <w:sz w:val="24"/>
          <w:szCs w:val="24"/>
        </w:rPr>
        <w:t>汇总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分析</w:t>
      </w:r>
      <w:r>
        <w:rPr>
          <w:rFonts w:hint="eastAsia" w:ascii="宋体" w:hAnsi="宋体" w:eastAsia="宋体" w:cs="宋体"/>
          <w:sz w:val="24"/>
          <w:szCs w:val="24"/>
        </w:rPr>
        <w:t>情况。</w:t>
      </w:r>
    </w:p>
    <w:p w14:paraId="76BB221B">
      <w:pPr>
        <w:spacing w:line="46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（注：请企业结合具体情况，在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填写相关内容或实际数据，在符合企业情况的</w:t>
      </w:r>
      <w:r>
        <w:rPr>
          <w:rFonts w:hint="eastAsia" w:ascii="宋体" w:hAnsi="宋体" w:eastAsia="宋体" w:cs="宋体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</w:rPr>
        <w:t>中打√即可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在填写过程中有任何疑问，请随时与我们联系。）</w:t>
      </w:r>
    </w:p>
    <w:p w14:paraId="64EE94BE">
      <w:pPr>
        <w:spacing w:line="460" w:lineRule="exact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</w:p>
    <w:p w14:paraId="1F3AC198">
      <w:pPr>
        <w:spacing w:line="460" w:lineRule="exact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企业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基本信息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（多选、填空）</w:t>
      </w:r>
    </w:p>
    <w:p w14:paraId="081095CC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企业名称：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</w:t>
      </w:r>
    </w:p>
    <w:p w14:paraId="30072736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联系方式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电话、微信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</w:t>
      </w:r>
    </w:p>
    <w:p w14:paraId="6E64FEC2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企业类型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：</w:t>
      </w:r>
    </w:p>
    <w:p w14:paraId="4F691EEA">
      <w:pPr>
        <w:spacing w:line="460" w:lineRule="exact"/>
        <w:ind w:left="0" w:leftChars="0"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□国有企业         □集体所有制企业     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民营企业</w:t>
      </w:r>
    </w:p>
    <w:p w14:paraId="04F9A186">
      <w:pPr>
        <w:spacing w:line="460" w:lineRule="exact"/>
        <w:ind w:left="0" w:leftChars="0"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股份有限公司     □外商独资企业       □中外合资企业 </w:t>
      </w:r>
    </w:p>
    <w:p w14:paraId="69B4138C">
      <w:pPr>
        <w:numPr>
          <w:ilvl w:val="-1"/>
          <w:numId w:val="0"/>
        </w:num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4.2025年主要经济指标：</w:t>
      </w:r>
    </w:p>
    <w:p w14:paraId="3B668393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工业总产值：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万元；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营业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收入：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万元；</w:t>
      </w:r>
    </w:p>
    <w:p w14:paraId="7EB6792B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利润总额：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万元；    员工人数：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人。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                    </w:t>
      </w:r>
    </w:p>
    <w:p w14:paraId="427503EF">
      <w:pPr>
        <w:spacing w:line="460" w:lineRule="exact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</w:p>
    <w:p w14:paraId="1C6EC566">
      <w:pPr>
        <w:spacing w:line="460" w:lineRule="exact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上半年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企业的经营状况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（多选、填空） </w:t>
      </w:r>
    </w:p>
    <w:p w14:paraId="625DD72A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1．国内产品订单比去年同期</w:t>
      </w:r>
    </w:p>
    <w:p w14:paraId="4A9E2A06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□增长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 ；□下降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%； □基本持平</w:t>
      </w:r>
    </w:p>
    <w:p w14:paraId="7B406FA6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2．出口产品订单比去年同期</w:t>
      </w:r>
    </w:p>
    <w:p w14:paraId="67FAF4A3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□增长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%；□下降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%；□基本持平</w:t>
      </w:r>
    </w:p>
    <w:p w14:paraId="10BA96C8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3．订单交付率及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去年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同期</w:t>
      </w:r>
    </w:p>
    <w:p w14:paraId="3E19B8FD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订单交付率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%；去年同期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%     </w:t>
      </w:r>
    </w:p>
    <w:p w14:paraId="1906AF1E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4．营业收入比去年同期</w:t>
      </w:r>
    </w:p>
    <w:p w14:paraId="4A015337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□增长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%； □下降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%； □基本持平</w:t>
      </w:r>
    </w:p>
    <w:p w14:paraId="695056CC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5．净利润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比去年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同期</w:t>
      </w:r>
    </w:p>
    <w:p w14:paraId="293A3DA1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□增长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%； □下降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%； □基本持平； □亏损</w:t>
      </w:r>
    </w:p>
    <w:p w14:paraId="780DF14E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6．产能利用率及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去年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同期</w:t>
      </w:r>
    </w:p>
    <w:p w14:paraId="07D40F98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产能利用率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%；去年同期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%；     </w:t>
      </w:r>
    </w:p>
    <w:p w14:paraId="287AAFC3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7．主要产品平均价格比去年同期</w:t>
      </w:r>
    </w:p>
    <w:p w14:paraId="4761FDB1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□增长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 ；□下降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%；□基本持平 </w:t>
      </w:r>
    </w:p>
    <w:p w14:paraId="6AD30392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8． 原辅材料采购成本比去年同期</w:t>
      </w:r>
    </w:p>
    <w:p w14:paraId="3697D077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□增长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%；□下降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%；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基本持平</w:t>
      </w:r>
    </w:p>
    <w:p w14:paraId="03B6E1D1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9． 产品销售渠道</w:t>
      </w:r>
    </w:p>
    <w:p w14:paraId="6783E72D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□主机配套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%；□维修市场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%；□出口市场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</w:p>
    <w:p w14:paraId="0BA0F859">
      <w:pPr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10．拟拓展市场方向</w:t>
      </w:r>
    </w:p>
    <w:p w14:paraId="40CB9528">
      <w:pPr>
        <w:keepNext w:val="0"/>
        <w:keepLines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60" w:lineRule="exact"/>
        <w:ind w:left="0" w:leftChars="0" w:right="0" w:rightChars="0" w:firstLine="480" w:firstLineChars="20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□主机配套；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维修市场；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□出口市场   </w:t>
      </w:r>
    </w:p>
    <w:p w14:paraId="35520F87">
      <w:pPr>
        <w:spacing w:line="460" w:lineRule="exact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</w:pPr>
    </w:p>
    <w:p w14:paraId="735E8112">
      <w:pPr>
        <w:spacing w:line="460" w:lineRule="exact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、企业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现有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产品结构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多选、填空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</w:t>
      </w:r>
    </w:p>
    <w:p w14:paraId="1538D389">
      <w:pPr>
        <w:numPr>
          <w:ilvl w:val="-1"/>
          <w:numId w:val="0"/>
        </w:num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1.摩擦材料产品</w:t>
      </w:r>
    </w:p>
    <w:p w14:paraId="27F3261D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□盘式片及总成类，收入占比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□闸瓦类，收入占比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</w:p>
    <w:p w14:paraId="7F4DA9A1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□鼓式片及总成类，收入占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刹车带类，收入占比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</w:p>
    <w:p w14:paraId="4B5CD7C5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□离合器面片及总成类，收入占比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□其它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188E31EB">
      <w:pPr>
        <w:spacing w:line="460" w:lineRule="exact"/>
        <w:ind w:firstLine="480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密封材料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产品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 </w:t>
      </w:r>
    </w:p>
    <w:p w14:paraId="03952C34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□辊压纤维板，收入占比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□石墨板，收入占比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</w:p>
    <w:p w14:paraId="61B116D3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□抄取纤维板，收入占比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□四氟板，收入占比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% </w:t>
      </w:r>
    </w:p>
    <w:p w14:paraId="33A25FBC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□密封垫片，收入占比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涂胶板，收入占比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</w:p>
    <w:p w14:paraId="61CDAB9A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□其它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2355522E">
      <w:pPr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原辅材料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产品</w:t>
      </w:r>
    </w:p>
    <w:p w14:paraId="6A4865A3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□纤维类，主导产品名称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</w:p>
    <w:p w14:paraId="22D0FCCD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□化工类，主导产品名称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</w:p>
    <w:p w14:paraId="3CA4B424">
      <w:pPr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矿物类，主导产品名称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</w:p>
    <w:p w14:paraId="07041CB8">
      <w:pPr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装备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类产品</w:t>
      </w:r>
    </w:p>
    <w:p w14:paraId="2F4B9846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□生产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设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备，主导产品名称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</w:p>
    <w:p w14:paraId="75D08C9B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□检测设备，主导产品名称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</w:p>
    <w:p w14:paraId="25489CCE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□工艺设备，主导产品名称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</w:p>
    <w:p w14:paraId="131180F7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□其它，主导产品名称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</w:p>
    <w:p w14:paraId="449ED9E6">
      <w:pPr>
        <w:numPr>
          <w:ilvl w:val="0"/>
          <w:numId w:val="0"/>
        </w:numPr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</w:p>
    <w:p w14:paraId="72E0B944">
      <w:pPr>
        <w:numPr>
          <w:ilvl w:val="0"/>
          <w:numId w:val="0"/>
        </w:numPr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配件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类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产品</w:t>
      </w:r>
    </w:p>
    <w:p w14:paraId="7AC1EFC8">
      <w:pPr>
        <w:numPr>
          <w:ilvl w:val="0"/>
          <w:numId w:val="0"/>
        </w:num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钢背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类，主导产品名称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</w:p>
    <w:p w14:paraId="20E2ADAC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电器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类，主导产品名称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</w:p>
    <w:p w14:paraId="160F55E2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□其它，主导产品名称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，收入占比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%</w:t>
      </w:r>
    </w:p>
    <w:p w14:paraId="0965CCA1">
      <w:pPr>
        <w:numPr>
          <w:ilvl w:val="-1"/>
          <w:numId w:val="0"/>
        </w:numPr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8226817">
      <w:pPr>
        <w:numPr>
          <w:ilvl w:val="-1"/>
          <w:numId w:val="0"/>
        </w:numPr>
        <w:spacing w:line="460" w:lineRule="exact"/>
        <w:ind w:firstLine="482" w:firstLineChars="200"/>
        <w:rPr>
          <w:rFonts w:hint="default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科</w:t>
      </w: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技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创新与产业升级情况</w:t>
      </w:r>
    </w:p>
    <w:p w14:paraId="7CD599EB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firstLine="482" w:firstLineChars="200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（一）研发投入及创新能力</w:t>
      </w:r>
    </w:p>
    <w:p w14:paraId="13919B54">
      <w:pPr>
        <w:numPr>
          <w:ilvl w:val="-1"/>
          <w:numId w:val="0"/>
        </w:num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1.2025年企业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研发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投入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（填空）</w:t>
      </w:r>
    </w:p>
    <w:p w14:paraId="67E44673">
      <w:pPr>
        <w:wordWrap w:val="0"/>
        <w:overflowPunct w:val="0"/>
        <w:topLinePunct/>
        <w:spacing w:line="460" w:lineRule="exact"/>
        <w:ind w:left="0" w:leftChars="0" w:firstLine="480" w:firstLineChars="200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研发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投入总额（万元）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研发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投入强度（%）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</w:p>
    <w:p w14:paraId="015EB606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研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>发人员数量（人）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>，研发人员占比（%）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</w:p>
    <w:p w14:paraId="26E0C414">
      <w:pPr>
        <w:keepNext w:val="0"/>
        <w:keepLines w:val="0"/>
        <w:widowControl/>
        <w:numPr>
          <w:ilvl w:val="-1"/>
          <w:numId w:val="0"/>
        </w:numPr>
        <w:suppressLineNumbers w:val="0"/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2.企业研发机构建设水平（多选、填空）</w:t>
      </w:r>
    </w:p>
    <w:p w14:paraId="78A140DF">
      <w:pPr>
        <w:keepNext w:val="0"/>
        <w:keepLines w:val="0"/>
        <w:widowControl/>
        <w:numPr>
          <w:ilvl w:val="-1"/>
          <w:numId w:val="0"/>
        </w:numPr>
        <w:suppressLineNumbers w:val="0"/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>研发机构层级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多选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77BAC36D">
      <w:pPr>
        <w:keepNext w:val="0"/>
        <w:keepLines w:val="0"/>
        <w:widowControl/>
        <w:numPr>
          <w:ilvl w:val="0"/>
          <w:numId w:val="0"/>
        </w:numPr>
        <w:suppressLineNumbers w:val="0"/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>□国家级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□省部级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□地市级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□横向联合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□企业自建 </w:t>
      </w:r>
    </w:p>
    <w:p w14:paraId="4536FFF4">
      <w:pPr>
        <w:keepNext w:val="0"/>
        <w:keepLines w:val="0"/>
        <w:widowControl/>
        <w:numPr>
          <w:ilvl w:val="0"/>
          <w:numId w:val="0"/>
        </w:numPr>
        <w:suppressLineNumbers w:val="0"/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>研发机构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类型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>（多选）</w:t>
      </w:r>
    </w:p>
    <w:p w14:paraId="7DDED470">
      <w:pPr>
        <w:keepNext w:val="0"/>
        <w:keepLines w:val="0"/>
        <w:widowControl/>
        <w:numPr>
          <w:ilvl w:val="0"/>
          <w:numId w:val="0"/>
        </w:numPr>
        <w:suppressLineNumbers w:val="0"/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>□创新基地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技术中心 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□创新中心 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研究中心 </w:t>
      </w:r>
    </w:p>
    <w:p w14:paraId="7C871047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>□重点实验室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□院士工作站 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14:textFill>
            <w14:solidFill>
              <w14:schemeClr w14:val="tx1"/>
            </w14:solidFill>
          </w14:textFill>
        </w:rPr>
        <w:t>□博士后工作站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</w:p>
    <w:p w14:paraId="78ABB464">
      <w:pPr>
        <w:numPr>
          <w:ilvl w:val="-1"/>
          <w:numId w:val="0"/>
        </w:num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3.企业近三年自主知识产权（填空）</w:t>
      </w: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</w:t>
      </w:r>
    </w:p>
    <w:p w14:paraId="60CC03FB">
      <w:pPr>
        <w:spacing w:line="460" w:lineRule="exact"/>
        <w:ind w:firstLine="480" w:firstLineChars="200"/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发明专利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实用新型专利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外观设计专利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项。</w:t>
      </w:r>
    </w:p>
    <w:p w14:paraId="4AC35F25">
      <w:pPr>
        <w:widowControl w:val="0"/>
        <w:numPr>
          <w:ilvl w:val="0"/>
          <w:numId w:val="1"/>
        </w:numPr>
        <w:spacing w:line="460" w:lineRule="exact"/>
        <w:ind w:left="0" w:leftChars="0" w:firstLine="48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近三年科技成果及转化程度（多选、填空）</w:t>
      </w:r>
    </w:p>
    <w:p w14:paraId="195F34EA">
      <w:pPr>
        <w:widowControl w:val="0"/>
        <w:numPr>
          <w:ilvl w:val="-1"/>
          <w:numId w:val="0"/>
        </w:numPr>
        <w:spacing w:line="460" w:lineRule="exact"/>
        <w:ind w:left="0" w:leftChars="0" w:firstLine="480" w:firstLineChars="200"/>
        <w:jc w:val="both"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sz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成果数量：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国家级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科技成果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省部级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科技成果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73C6D16">
      <w:pPr>
        <w:widowControl w:val="0"/>
        <w:numPr>
          <w:ilvl w:val="0"/>
          <w:numId w:val="0"/>
        </w:numPr>
        <w:spacing w:line="460" w:lineRule="exact"/>
        <w:ind w:left="0" w:leftChars="0" w:firstLine="480" w:firstLineChars="200"/>
        <w:jc w:val="both"/>
        <w:rPr>
          <w:rFonts w:hint="eastAsia" w:ascii="宋体" w:hAnsi="宋体" w:eastAsia="宋体" w:cs="宋体"/>
          <w:color w:val="FF0000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default" w:ascii="宋体" w:hAnsi="宋体" w:eastAsia="宋体" w:cs="宋体"/>
          <w:color w:val="000000" w:themeColor="text1"/>
          <w:spacing w:val="0"/>
          <w:kern w:val="2"/>
          <w:sz w:val="24"/>
          <w:szCs w:val="24"/>
          <w:shd w:val="clear" w:fill="auto"/>
          <w:lang w:val="en-US" w:eastAsia="zh-CN" w:bidi="ar-SA"/>
          <w14:textFill>
            <w14:solidFill>
              <w14:schemeClr w14:val="tx1"/>
            </w14:solidFill>
          </w14:textFill>
        </w:rPr>
        <w:t>（2）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成果转化：已完成转化项目数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个   未完成转化项目数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个。   </w:t>
      </w:r>
      <w:r>
        <w:rPr>
          <w:rFonts w:hint="eastAsia" w:ascii="宋体" w:hAnsi="宋体" w:eastAsia="宋体" w:cs="宋体"/>
          <w:color w:val="FF0000"/>
          <w:spacing w:val="0"/>
          <w:sz w:val="24"/>
          <w:szCs w:val="24"/>
          <w:shd w:val="clear" w:color="auto" w:fill="auto"/>
          <w:lang w:val="en-US" w:eastAsia="zh-CN"/>
        </w:rPr>
        <w:t xml:space="preserve">         </w:t>
      </w:r>
    </w:p>
    <w:p w14:paraId="535A69D1">
      <w:pPr>
        <w:numPr>
          <w:ilvl w:val="0"/>
          <w:numId w:val="0"/>
        </w:numPr>
        <w:wordWrap/>
        <w:overflowPunct/>
        <w:topLinePunct w:val="0"/>
        <w:spacing w:line="460" w:lineRule="exact"/>
        <w:ind w:leftChars="0" w:firstLine="480" w:firstLineChars="200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5.近三年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主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持或参与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标准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制修订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（多选、填空）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19DB83FE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□团体标准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个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□行业标准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</w:p>
    <w:p w14:paraId="49E9067D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□国家标准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□国际标准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个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4E1DF01A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leftChars="0" w:firstLine="480" w:firstLineChars="200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6.企业获得“专精特新”等资质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（多选）</w:t>
      </w:r>
    </w:p>
    <w:p w14:paraId="024E086C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科技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型或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创新型中小企业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专精特新中小企业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</w:p>
    <w:p w14:paraId="350AC11C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专精特新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小巨人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专精特新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重点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小巨人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354A4F5C">
      <w:pPr>
        <w:wordWrap w:val="0"/>
        <w:overflowPunct w:val="0"/>
        <w:topLinePunct/>
        <w:spacing w:line="460" w:lineRule="exact"/>
        <w:ind w:firstLine="480" w:firstLineChars="200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制造业单项冠军(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国家级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省级 )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高新技术企业   </w:t>
      </w:r>
    </w:p>
    <w:p w14:paraId="7B4FBE6A">
      <w:pPr>
        <w:numPr>
          <w:ilvl w:val="-1"/>
          <w:numId w:val="0"/>
        </w:numPr>
        <w:wordWrap/>
        <w:overflowPunct/>
        <w:topLinePunct w:val="0"/>
        <w:spacing w:line="460" w:lineRule="exact"/>
        <w:ind w:firstLine="482" w:firstLineChars="200"/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（二）产品结构调整情况 </w:t>
      </w:r>
      <w:r>
        <w:rPr>
          <w:rFonts w:hint="eastAsia" w:ascii="宋体" w:hAnsi="宋体" w:eastAsia="宋体" w:cs="宋体"/>
          <w:b w:val="0"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（填空）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【计算方法见调研问卷内容注释1-4】 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 w14:paraId="49EE7F3F">
      <w:pPr>
        <w:numPr>
          <w:ilvl w:val="0"/>
          <w:numId w:val="0"/>
        </w:numPr>
        <w:wordWrap/>
        <w:overflowPunct/>
        <w:topLinePunct w:val="0"/>
        <w:spacing w:line="460" w:lineRule="exact"/>
        <w:ind w:leftChars="0"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2025年度新产品总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收入占比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其中：高端产品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收入占比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1D6A3317">
      <w:pPr>
        <w:numPr>
          <w:ilvl w:val="0"/>
          <w:numId w:val="0"/>
        </w:numPr>
        <w:spacing w:line="460" w:lineRule="exact"/>
        <w:ind w:firstLine="480" w:firstLineChars="200"/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智能型产品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收入占比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绿色环保型产品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收入占比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 xml:space="preserve">   </w:t>
      </w:r>
    </w:p>
    <w:p w14:paraId="54C129E7">
      <w:pPr>
        <w:spacing w:line="460" w:lineRule="exact"/>
        <w:ind w:firstLine="482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质量提升与品牌建设情况</w:t>
      </w:r>
    </w:p>
    <w:p w14:paraId="1815E81A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firstLine="482" w:firstLineChars="200"/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（一）质量管理体系认证情况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（多选）</w:t>
      </w:r>
    </w:p>
    <w:p w14:paraId="3AC9CE90">
      <w:pPr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GB/T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9001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GB/T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14001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□ISO45001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□IAT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16949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GB/T19004</w:t>
      </w:r>
    </w:p>
    <w:p w14:paraId="2CF6CE91">
      <w:pPr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GB/T19024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14:textFill>
            <w14:solidFill>
              <w14:schemeClr w14:val="tx1"/>
            </w14:solidFill>
          </w14:textFill>
        </w:rPr>
        <w:t>GB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14:textFill>
            <w14:solidFill>
              <w14:schemeClr w14:val="tx1"/>
            </w14:solidFill>
          </w14:textFill>
        </w:rPr>
        <w:t>T19580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其它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4ADDC877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firstLine="482" w:firstLineChars="200"/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（二）质量绩效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（取2025年度数据 填空）  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【计算方法见调研问卷内容注释5-10】</w:t>
      </w:r>
    </w:p>
    <w:p w14:paraId="71371B55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过程能力指数（Cpk）：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产品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一次交验合格率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%）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</w:p>
    <w:p w14:paraId="072B0F80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内部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损失率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%）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外部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损失率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</w:p>
    <w:p w14:paraId="648821A1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产品平均缺陷率（%）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年度质量改进收益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万元）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</w:p>
    <w:p w14:paraId="46663BB2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firstLine="482" w:firstLineChars="200"/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（三）可靠性能力提升</w:t>
      </w:r>
    </w:p>
    <w:p w14:paraId="763926CA">
      <w:pPr>
        <w:numPr>
          <w:ilvl w:val="-1"/>
          <w:numId w:val="0"/>
        </w:numPr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1.具备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可靠性管理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方法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（多选）</w:t>
      </w:r>
    </w:p>
    <w:p w14:paraId="529BB0EB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□可靠性管理制度   □可靠性评审         □故障分析与纠正预防</w:t>
      </w:r>
    </w:p>
    <w:p w14:paraId="789FD768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□可靠性设计       □可靠性分析与验证   □可靠性仿真 </w:t>
      </w:r>
    </w:p>
    <w:p w14:paraId="061E7704">
      <w:pPr>
        <w:wordWrap w:val="0"/>
        <w:overflowPunct w:val="0"/>
        <w:topLinePunct/>
        <w:spacing w:line="460" w:lineRule="exact"/>
        <w:ind w:left="0" w:leftChars="0" w:firstLine="480" w:firstLineChars="200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□可靠制造工艺     □关键检测技术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</w:p>
    <w:p w14:paraId="0E799A04">
      <w:pPr>
        <w:wordWrap w:val="0"/>
        <w:overflowPunct w:val="0"/>
        <w:topLinePunct/>
        <w:spacing w:line="460" w:lineRule="exact"/>
        <w:ind w:firstLine="480" w:firstLineChars="200"/>
        <w:rPr>
          <w:rFonts w:hint="default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2.通过可靠性攻关实现系统性突破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（多选）</w:t>
      </w:r>
    </w:p>
    <w:p w14:paraId="4C3E9499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□关键材料         □先进工艺           □核心零部件</w:t>
      </w:r>
    </w:p>
    <w:p w14:paraId="2E1EB01C">
      <w:pPr>
        <w:wordWrap w:val="0"/>
        <w:overflowPunct w:val="0"/>
        <w:topLinePunct/>
        <w:spacing w:line="460" w:lineRule="exact"/>
        <w:ind w:firstLine="480" w:firstLineChars="200"/>
        <w:rPr>
          <w:rFonts w:hint="default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□关键装备         □关键软件          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</w:p>
    <w:p w14:paraId="51717EF8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firstLine="482" w:firstLineChars="200"/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（四）品牌建设</w:t>
      </w:r>
    </w:p>
    <w:p w14:paraId="73890A36">
      <w:pPr>
        <w:numPr>
          <w:ilvl w:val="-1"/>
          <w:numId w:val="0"/>
        </w:num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主品牌定位（多选）</w:t>
      </w:r>
    </w:p>
    <w:p w14:paraId="2FE731EE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pacing w:val="0"/>
          <w:w w:val="100"/>
          <w:kern w:val="0"/>
          <w:sz w:val="24"/>
          <w:szCs w:val="24"/>
          <w:shd w:val="clear" w:color="auto" w:fill="auto"/>
          <w:fitText w:val="1440" w:id="170223070"/>
          <w14:textFill>
            <w14:solidFill>
              <w14:schemeClr w14:val="tx1"/>
            </w14:solidFill>
          </w14:textFill>
        </w:rPr>
        <w:t>国际知名品牌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□国内知名品牌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□区域知名品牌</w:t>
      </w:r>
    </w:p>
    <w:p w14:paraId="0FB91609">
      <w:pPr>
        <w:numPr>
          <w:ilvl w:val="-1"/>
          <w:numId w:val="0"/>
        </w:num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□高端品牌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□一般品牌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□其它：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</w:p>
    <w:p w14:paraId="269A44E8">
      <w:pPr>
        <w:numPr>
          <w:ilvl w:val="-1"/>
          <w:numId w:val="0"/>
        </w:num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品牌架构设计（单选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填空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）</w:t>
      </w:r>
    </w:p>
    <w:p w14:paraId="074140E0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□多品牌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主品牌名称：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 使用年限：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</w:p>
    <w:p w14:paraId="575D6BBC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□单品牌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单品牌名称：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使用年限：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</w:p>
    <w:p w14:paraId="53AC2FA0">
      <w:pPr>
        <w:numPr>
          <w:ilvl w:val="-1"/>
          <w:numId w:val="0"/>
        </w:num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品牌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推广渠道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（多选）</w:t>
      </w:r>
    </w:p>
    <w:p w14:paraId="736BD1DB">
      <w:pPr>
        <w:keepNext w:val="0"/>
        <w:keepLines w:val="0"/>
        <w:widowControl/>
        <w:suppressLineNumbers w:val="0"/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□线上推广         □线下展会           □行业合作  </w:t>
      </w:r>
    </w:p>
    <w:p w14:paraId="37B296FB">
      <w:pPr>
        <w:widowControl/>
        <w:wordWrap/>
        <w:overflowPunct/>
        <w:topLinePunct w:val="0"/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kern w:val="2"/>
          <w:sz w:val="24"/>
          <w:szCs w:val="24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□口碑传播         □其他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</w:p>
    <w:p w14:paraId="2774AD4A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kern w:val="2"/>
          <w:sz w:val="24"/>
          <w:szCs w:val="24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kern w:val="2"/>
          <w:sz w:val="24"/>
          <w:szCs w:val="24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t>4.品牌影响力与口碑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（单选）</w:t>
      </w:r>
    </w:p>
    <w:p w14:paraId="7A9E4A76">
      <w:pPr>
        <w:keepNext w:val="0"/>
        <w:keepLines w:val="0"/>
        <w:widowControl/>
        <w:suppressLineNumbers w:val="0"/>
        <w:spacing w:line="460" w:lineRule="exact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kern w:val="2"/>
          <w:sz w:val="24"/>
          <w:szCs w:val="24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kern w:val="2"/>
          <w:sz w:val="24"/>
          <w:szCs w:val="24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t>（1）品牌在行业内影响力：□行业领先  □区域知名  □本地认可   □无明显影响力</w:t>
      </w:r>
    </w:p>
    <w:p w14:paraId="5B9FAE58">
      <w:pPr>
        <w:keepNext w:val="0"/>
        <w:keepLines w:val="0"/>
        <w:widowControl/>
        <w:suppressLineNumbers w:val="0"/>
        <w:spacing w:line="460" w:lineRule="exact"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kern w:val="2"/>
          <w:sz w:val="24"/>
          <w:szCs w:val="24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kern w:val="2"/>
          <w:sz w:val="24"/>
          <w:szCs w:val="24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t>（2）客户对品牌的认可度：□很高      □较高      □一般       □较低</w:t>
      </w:r>
    </w:p>
    <w:p w14:paraId="6DD8E417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firstLine="482" w:firstLineChars="200"/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p w14:paraId="02FB1858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firstLine="0" w:firstLineChars="0"/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p w14:paraId="67D20350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firstLine="482" w:firstLineChars="200"/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六、绿色低碳可持续发展情况</w:t>
      </w:r>
    </w:p>
    <w:p w14:paraId="5CD03FF7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firstLine="482" w:firstLineChars="200"/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（一）“三零”工厂建设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（多选、填空）</w:t>
      </w:r>
    </w:p>
    <w:p w14:paraId="44CDD512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leftChars="0" w:firstLine="480" w:firstLineChars="200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1.企业绿色能源应用：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光伏</w:t>
      </w: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地热能</w:t>
      </w: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风电</w:t>
      </w: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水电</w:t>
      </w: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其它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</w:p>
    <w:p w14:paraId="0866DCFE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leftChars="0" w:firstLine="480" w:firstLineChars="200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2.2025年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绿色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能源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用量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占比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（%）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【计算方法见调研问卷内容注释11】</w:t>
      </w:r>
    </w:p>
    <w:p w14:paraId="3AB40EF0">
      <w:pPr>
        <w:numPr>
          <w:ilvl w:val="-1"/>
          <w:numId w:val="0"/>
        </w:numPr>
        <w:wordWrap w:val="0"/>
        <w:overflowPunct w:val="0"/>
        <w:topLinePunct/>
        <w:spacing w:line="460" w:lineRule="exact"/>
        <w:ind w:firstLine="480" w:firstLineChars="200"/>
        <w:rPr>
          <w:rFonts w:hint="default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3.2025年企业碳排放情况   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【计算方法见调研问卷内容注释12-13】</w:t>
      </w:r>
    </w:p>
    <w:p w14:paraId="10DC9EBD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firstLine="480" w:firstLineChars="200"/>
        <w:rPr>
          <w:rFonts w:hint="default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u w:val="singl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碳排放总量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tCO₂e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碳排放强度（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tCO₂e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/t产品）：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</w:p>
    <w:p w14:paraId="5F91CF42">
      <w:pPr>
        <w:numPr>
          <w:ilvl w:val="-1"/>
          <w:numId w:val="0"/>
        </w:num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4.2025年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企业固废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排放情况   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【计算方法见调研问卷内容注释14-15】</w:t>
      </w:r>
    </w:p>
    <w:p w14:paraId="2B6A24D6">
      <w:pPr>
        <w:numPr>
          <w:ilvl w:val="-1"/>
          <w:numId w:val="0"/>
        </w:num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一般工业固废排放总量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（t）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一般工业固废综合利用率（%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1B16927E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leftChars="0" w:firstLine="482" w:firstLineChars="200"/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（二）2025年单位产值综合能耗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吨标准煤/工业产值（万元）</w:t>
      </w: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2B156F1F">
      <w:pPr>
        <w:numPr>
          <w:ilvl w:val="-1"/>
          <w:numId w:val="0"/>
        </w:numPr>
        <w:wordWrap w:val="0"/>
        <w:overflowPunct w:val="0"/>
        <w:topLinePunct/>
        <w:spacing w:line="460" w:lineRule="exact"/>
        <w:ind w:leftChars="0" w:firstLine="480" w:firstLineChars="200"/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【计算方法见调研问卷内容注释16】</w:t>
      </w:r>
    </w:p>
    <w:p w14:paraId="21A3CDF7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firstLine="482" w:firstLineChars="200"/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（三）获得绿色资质认证情况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（多选）</w:t>
      </w: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4320A7D2">
      <w:pPr>
        <w:numPr>
          <w:ilvl w:val="0"/>
          <w:numId w:val="0"/>
        </w:numPr>
        <w:spacing w:line="460" w:lineRule="exact"/>
        <w:ind w:leftChars="0" w:firstLine="241" w:firstLineChars="100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国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家级绿色工厂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省级绿色工厂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市级绿色工厂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绿色供应链管理企业  </w:t>
      </w:r>
    </w:p>
    <w:p w14:paraId="000A6929">
      <w:pPr>
        <w:numPr>
          <w:ilvl w:val="0"/>
          <w:numId w:val="0"/>
        </w:numPr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FF0000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绿色产品   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产品碳足迹认证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碳中和认证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碳标签认证  </w:t>
      </w:r>
      <w:r>
        <w:rPr>
          <w:rFonts w:hint="eastAsia" w:ascii="宋体" w:hAnsi="宋体" w:eastAsia="宋体" w:cs="宋体"/>
          <w:b w:val="0"/>
          <w:bCs w:val="0"/>
          <w:color w:val="FF0000"/>
          <w:spacing w:val="0"/>
          <w:sz w:val="24"/>
          <w:szCs w:val="24"/>
          <w:shd w:val="clear" w:color="auto" w:fill="auto"/>
          <w:lang w:val="en-US" w:eastAsia="zh-CN"/>
        </w:rPr>
        <w:t xml:space="preserve"> </w:t>
      </w:r>
    </w:p>
    <w:p w14:paraId="7AB4C8EB">
      <w:pPr>
        <w:wordWrap w:val="0"/>
        <w:overflowPunct w:val="0"/>
        <w:topLinePunct/>
        <w:spacing w:line="460" w:lineRule="exact"/>
        <w:ind w:firstLine="482" w:firstLineChars="200"/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p w14:paraId="4EF505F8">
      <w:pPr>
        <w:wordWrap w:val="0"/>
        <w:overflowPunct w:val="0"/>
        <w:topLinePunct/>
        <w:spacing w:line="460" w:lineRule="exact"/>
        <w:ind w:firstLine="482" w:firstLineChars="200"/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七、数字化与智能化转型 </w:t>
      </w:r>
    </w:p>
    <w:p w14:paraId="4341845E">
      <w:pPr>
        <w:numPr>
          <w:ilvl w:val="0"/>
          <w:numId w:val="0"/>
        </w:numPr>
        <w:wordWrap w:val="0"/>
        <w:overflowPunct w:val="0"/>
        <w:topLinePunct/>
        <w:spacing w:line="460" w:lineRule="exact"/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实施数字化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应用的环节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（多选）</w:t>
      </w:r>
    </w:p>
    <w:p w14:paraId="0D79D2D7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研发设计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采购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生产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检测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仓储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客户服务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产品服务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1464FAD5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物流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销售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财务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其它：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  </w:t>
      </w:r>
    </w:p>
    <w:p w14:paraId="724E77A4">
      <w:pPr>
        <w:numPr>
          <w:ilvl w:val="-1"/>
          <w:numId w:val="0"/>
        </w:numPr>
        <w:wordWrap w:val="0"/>
        <w:overflowPunct w:val="0"/>
        <w:topLinePunct/>
        <w:spacing w:line="460" w:lineRule="exact"/>
        <w:ind w:firstLine="480" w:firstLineChars="200"/>
        <w:rPr>
          <w:rFonts w:hint="default" w:ascii="宋体" w:hAnsi="宋体" w:eastAsia="宋体" w:cs="宋体"/>
          <w:b/>
          <w:bCs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2.智能工厂建设关键绩效指标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多选、填空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【计算方法见调研问卷内容注释17-22】</w:t>
      </w:r>
    </w:p>
    <w:p w14:paraId="47381901">
      <w:pPr>
        <w:keepNext w:val="0"/>
        <w:keepLines w:val="0"/>
        <w:widowControl/>
        <w:suppressLineNumbers w:val="0"/>
        <w:spacing w:line="460" w:lineRule="exact"/>
        <w:ind w:firstLine="480" w:firstLineChars="200"/>
        <w:jc w:val="both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u w:val="singl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关键设备数控化率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生产</w:t>
      </w:r>
      <w:r>
        <w:rPr>
          <w:rFonts w:hint="default" w:ascii="宋体" w:hAnsi="宋体" w:eastAsia="宋体" w:cs="宋体"/>
          <w:i w:val="0"/>
          <w:i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设备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数字化普及率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</w:p>
    <w:p w14:paraId="25E4392A">
      <w:pPr>
        <w:numPr>
          <w:ilvl w:val="0"/>
          <w:numId w:val="0"/>
        </w:numPr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关键工序自动化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率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应用人工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智能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技术场景比例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</w:p>
    <w:p w14:paraId="63377BE2">
      <w:pPr>
        <w:numPr>
          <w:ilvl w:val="0"/>
          <w:numId w:val="0"/>
        </w:num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u w:val="single"/>
          <w:shd w:val="clear" w:color="auto" w:fill="auto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生产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率提升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%）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产品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不良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%）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</w:p>
    <w:p w14:paraId="5658BD33">
      <w:pPr>
        <w:widowControl/>
        <w:numPr>
          <w:ilvl w:val="-1"/>
          <w:numId w:val="0"/>
        </w:numPr>
        <w:wordWrap/>
        <w:overflowPunct/>
        <w:topLinePunct w:val="0"/>
        <w:spacing w:line="460" w:lineRule="exact"/>
        <w:ind w:leftChars="0" w:firstLine="480" w:firstLineChars="200"/>
        <w:jc w:val="both"/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3.智能制造能力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成熟度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自评价</w:t>
      </w:r>
      <w:r>
        <w:rPr>
          <w:rFonts w:hint="eastAsia" w:ascii="宋体" w:hAnsi="宋体" w:eastAsia="宋体" w:cs="宋体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（单选）</w:t>
      </w:r>
    </w:p>
    <w:p w14:paraId="206E0453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一级（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规划级）：</w:t>
      </w:r>
      <w:r>
        <w:rPr>
          <w:rFonts w:hint="eastAsia" w:ascii="宋体" w:hAnsi="宋体" w:eastAsia="宋体" w:cs="宋体"/>
          <w:color w:val="000000" w:themeColor="text1"/>
          <w:spacing w:val="0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实施智能制造的基础和条件进行规划，对核心业务</w:t>
      </w:r>
      <w:r>
        <w:rPr>
          <w:rFonts w:hint="eastAsia" w:ascii="宋体" w:hAnsi="宋体" w:eastAsia="宋体" w:cs="宋体"/>
          <w:color w:val="000000" w:themeColor="text1"/>
          <w:spacing w:val="0"/>
          <w:kern w:val="0"/>
          <w:sz w:val="24"/>
          <w:szCs w:val="24"/>
          <w:lang w:eastAsia="zh-CN" w:bidi="ar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pacing w:val="0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设计、生产、物流、销售、服务</w:t>
      </w:r>
      <w:r>
        <w:rPr>
          <w:rFonts w:hint="eastAsia" w:ascii="宋体" w:hAnsi="宋体" w:eastAsia="宋体" w:cs="宋体"/>
          <w:color w:val="000000" w:themeColor="text1"/>
          <w:spacing w:val="0"/>
          <w:kern w:val="0"/>
          <w:sz w:val="24"/>
          <w:szCs w:val="24"/>
          <w:lang w:eastAsia="zh-CN" w:bidi="ar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pacing w:val="0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进行流程化管理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。</w:t>
      </w:r>
    </w:p>
    <w:p w14:paraId="49F5BCB8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leftChars="0" w:firstLine="480" w:firstLineChars="200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二级（规范级）：实现车间、质检、财务等核心设备联网，单一环节数据采集、可留存、可追溯，系统间未互通。</w:t>
      </w:r>
    </w:p>
    <w:p w14:paraId="44652471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leftChars="0" w:firstLine="480" w:firstLineChars="200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kern w:val="0"/>
          <w:sz w:val="24"/>
          <w:szCs w:val="24"/>
          <w:shd w:val="clear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三级（集成级）：实现多系统集成互通，订单、排产、生产、质检、仓储、物料全流程数据自动同步、无纸化流转，生产过程可控、可追溯、可分析。</w:t>
      </w:r>
    </w:p>
    <w:p w14:paraId="414137A6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leftChars="0" w:firstLine="480" w:firstLineChars="200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kern w:val="0"/>
          <w:sz w:val="24"/>
          <w:szCs w:val="24"/>
          <w:shd w:val="clear"/>
          <w:lang w:eastAsia="zh-CN" w:bidi="ar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四级（优化级）： 基于大数据智能分析，实现产能动态调配、工艺参数智能优化、质量在线视觉识别、设备远程维护等核心业务的无人工干预智能管控。</w:t>
      </w:r>
    </w:p>
    <w:p w14:paraId="14CA47F6">
      <w:pPr>
        <w:numPr>
          <w:ilvl w:val="0"/>
          <w:numId w:val="0"/>
        </w:numPr>
        <w:wordWrap w:val="0"/>
        <w:overflowPunct w:val="0"/>
        <w:topLinePunct/>
        <w:spacing w:line="460" w:lineRule="exact"/>
        <w:ind w:leftChars="0" w:firstLine="480" w:firstLineChars="200"/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kern w:val="0"/>
          <w:sz w:val="24"/>
          <w:szCs w:val="24"/>
          <w:shd w:val="clear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kern w:val="0"/>
          <w:sz w:val="24"/>
          <w:szCs w:val="24"/>
          <w:shd w:val="clear"/>
          <w:lang w:eastAsia="zh-CN" w:bidi="ar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kern w:val="0"/>
          <w:sz w:val="24"/>
          <w:szCs w:val="24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五级（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引领级）：</w:t>
      </w:r>
      <w:r>
        <w:rPr>
          <w:rFonts w:hint="eastAsia" w:ascii="宋体" w:hAnsi="宋体" w:eastAsia="宋体" w:cs="宋体"/>
          <w:color w:val="000000" w:themeColor="text1"/>
          <w:spacing w:val="0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基于模型持续驱动业务活动的优化和创新，</w:t>
      </w:r>
      <w:r>
        <w:rPr>
          <w:rFonts w:hint="eastAsia" w:ascii="宋体" w:hAnsi="宋体" w:eastAsia="宋体" w:cs="宋体"/>
          <w:color w:val="000000" w:themeColor="text1"/>
          <w:spacing w:val="0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输出行业解决方案及标准，带动产业链整体转型，</w:t>
      </w:r>
      <w:r>
        <w:rPr>
          <w:rFonts w:hint="eastAsia" w:ascii="宋体" w:hAnsi="宋体" w:eastAsia="宋体" w:cs="宋体"/>
          <w:color w:val="000000" w:themeColor="text1"/>
          <w:spacing w:val="0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实现产业链协同并衍生新的制造</w:t>
      </w:r>
      <w:r>
        <w:rPr>
          <w:rFonts w:hint="eastAsia" w:ascii="宋体" w:hAnsi="宋体" w:eastAsia="宋体" w:cs="宋体"/>
          <w:color w:val="000000" w:themeColor="text1"/>
          <w:spacing w:val="0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模式</w:t>
      </w:r>
      <w:r>
        <w:rPr>
          <w:rFonts w:hint="eastAsia" w:ascii="宋体" w:hAnsi="宋体" w:eastAsia="宋体" w:cs="宋体"/>
          <w:color w:val="000000" w:themeColor="text1"/>
          <w:spacing w:val="0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和商业模</w:t>
      </w:r>
      <w:r>
        <w:rPr>
          <w:rFonts w:hint="eastAsia" w:ascii="宋体" w:hAnsi="宋体" w:eastAsia="宋体" w:cs="宋体"/>
          <w:color w:val="000000" w:themeColor="text1"/>
          <w:spacing w:val="0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式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。</w:t>
      </w:r>
    </w:p>
    <w:p w14:paraId="18178F41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4.数字化车间、智能生产线、智能工厂建设（多选、填空）</w:t>
      </w:r>
    </w:p>
    <w:p w14:paraId="02E2BB9E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eastAsia="zh-CN"/>
        </w:rPr>
        <w:sym w:font="Wingdings 2" w:char="00A3"/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>已建成数字化车间（个）：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u w:val="none"/>
          <w:shd w:val="clear" w:color="auto" w:fill="auto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>智能产线/智能工厂（条/个）：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</w:p>
    <w:p w14:paraId="3BB8CF82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eastAsia="zh-CN"/>
        </w:rPr>
        <w:sym w:font="Wingdings 2" w:char="00A3"/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 xml:space="preserve">已通过数字化车间评价：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 xml:space="preserve">省级 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市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 xml:space="preserve">级  </w:t>
      </w:r>
    </w:p>
    <w:p w14:paraId="0D13E1FF">
      <w:pPr>
        <w:wordWrap w:val="0"/>
        <w:overflowPunct w:val="0"/>
        <w:topLinePunct/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eastAsia="zh-CN"/>
        </w:rPr>
        <w:sym w:font="Wingdings 2" w:char="00A3"/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>已通过智能产线/智能工厂分级评价：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 xml:space="preserve">基础级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>先进级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>卓越级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 xml:space="preserve">领航级   </w:t>
      </w:r>
    </w:p>
    <w:p w14:paraId="0638B086">
      <w:pPr>
        <w:wordWrap w:val="0"/>
        <w:overflowPunct w:val="0"/>
        <w:topLinePunct/>
        <w:spacing w:line="460" w:lineRule="exact"/>
        <w:ind w:firstLine="482" w:firstLineChars="200"/>
        <w:rPr>
          <w:rFonts w:hint="eastAsia" w:ascii="宋体" w:hAnsi="宋体" w:eastAsia="宋体" w:cs="宋体"/>
          <w:b/>
          <w:bCs/>
          <w:color w:val="auto"/>
          <w:spacing w:val="0"/>
          <w:sz w:val="24"/>
          <w:szCs w:val="24"/>
          <w:shd w:val="clear" w:color="auto" w:fill="auto"/>
          <w:lang w:val="en-US" w:eastAsia="zh-CN"/>
        </w:rPr>
      </w:pPr>
    </w:p>
    <w:p w14:paraId="05BEA967">
      <w:pPr>
        <w:wordWrap w:val="0"/>
        <w:overflowPunct w:val="0"/>
        <w:topLinePunct/>
        <w:spacing w:line="460" w:lineRule="exact"/>
        <w:ind w:firstLine="482" w:firstLineChars="200"/>
        <w:rPr>
          <w:rFonts w:hint="eastAsia" w:ascii="宋体" w:hAnsi="宋体" w:eastAsia="宋体" w:cs="宋体"/>
          <w:b/>
          <w:bCs/>
          <w:color w:val="auto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sz w:val="24"/>
          <w:szCs w:val="24"/>
          <w:shd w:val="clear" w:color="auto" w:fill="auto"/>
          <w:lang w:val="en-US" w:eastAsia="zh-CN"/>
        </w:rPr>
        <w:t xml:space="preserve">八、国际化拓展情况 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（多选、填空）</w:t>
      </w:r>
    </w:p>
    <w:p w14:paraId="3E1651BB">
      <w:pPr>
        <w:spacing w:line="460" w:lineRule="exact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1．企业国际业务的性质：</w:t>
      </w:r>
    </w:p>
    <w:p w14:paraId="727957C0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</w:rPr>
        <w:t>产品出口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摩擦产品 </w:t>
      </w: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密封产品 </w:t>
      </w: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</w:rPr>
        <w:t>原材料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</w:rPr>
        <w:t>设备</w:t>
      </w:r>
    </w:p>
    <w:p w14:paraId="29EF67B6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</w:rPr>
        <w:t>产品进口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摩擦产品 </w:t>
      </w: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密封产品 </w:t>
      </w: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</w:rPr>
        <w:t>原材料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</w:rPr>
        <w:t>设备</w:t>
      </w:r>
    </w:p>
    <w:p w14:paraId="61CEE685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企业国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外建厂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/研发中心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国内外合资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合作</w:t>
      </w:r>
    </w:p>
    <w:p w14:paraId="5B14545D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</w:rPr>
        <w:t>代理国际品牌产品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</w:rPr>
        <w:t>其他国际合作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</w:t>
      </w:r>
    </w:p>
    <w:p w14:paraId="1385E1B1">
      <w:pPr>
        <w:numPr>
          <w:ilvl w:val="0"/>
          <w:numId w:val="0"/>
        </w:numPr>
        <w:spacing w:line="460" w:lineRule="exact"/>
        <w:ind w:leftChars="0"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2.出口产品及相关资质情况</w:t>
      </w:r>
    </w:p>
    <w:p w14:paraId="368DE313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出口产品收入占总营业收入比例：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%</w:t>
      </w:r>
    </w:p>
    <w:p w14:paraId="5BAA09F4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为国际主机客户配套额占总出口收入比例：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%</w:t>
      </w:r>
    </w:p>
    <w:p w14:paraId="03A0B9B5">
      <w:pPr>
        <w:wordWrap/>
        <w:overflowPunct/>
        <w:topLinePunct w:val="0"/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sym w:font="Wingdings 2" w:char="00A3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通过欧盟等国际认证资质（具体名称）：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 xml:space="preserve">  </w:t>
      </w:r>
    </w:p>
    <w:p w14:paraId="4EF44341">
      <w:pPr>
        <w:wordWrap w:val="0"/>
        <w:overflowPunct w:val="0"/>
        <w:topLinePunct/>
        <w:spacing w:line="460" w:lineRule="exact"/>
        <w:ind w:firstLine="482" w:firstLineChars="200"/>
        <w:rPr>
          <w:rFonts w:hint="eastAsia" w:ascii="宋体" w:hAnsi="宋体" w:eastAsia="宋体" w:cs="宋体"/>
          <w:b/>
          <w:bCs/>
          <w:color w:val="auto"/>
          <w:spacing w:val="0"/>
          <w:sz w:val="24"/>
          <w:szCs w:val="24"/>
          <w:shd w:val="clear" w:color="auto" w:fill="auto"/>
          <w:lang w:val="en-US" w:eastAsia="zh-CN"/>
        </w:rPr>
      </w:pPr>
    </w:p>
    <w:p w14:paraId="621548D2">
      <w:pPr>
        <w:wordWrap w:val="0"/>
        <w:overflowPunct w:val="0"/>
        <w:topLinePunct/>
        <w:spacing w:line="460" w:lineRule="exact"/>
        <w:ind w:firstLine="482" w:firstLineChars="200"/>
        <w:rPr>
          <w:rFonts w:hint="eastAsia" w:ascii="宋体" w:hAnsi="宋体" w:eastAsia="宋体" w:cs="宋体"/>
          <w:b/>
          <w:bCs/>
          <w:color w:val="auto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0"/>
          <w:sz w:val="24"/>
          <w:szCs w:val="24"/>
          <w:shd w:val="clear" w:color="auto" w:fill="auto"/>
          <w:lang w:val="en-US" w:eastAsia="zh-CN"/>
        </w:rPr>
        <w:t>九、对协会引领和推进行业高质量发展相关工作的建议</w:t>
      </w:r>
    </w:p>
    <w:p w14:paraId="02157834">
      <w:pPr>
        <w:wordWrap w:val="0"/>
        <w:overflowPunct w:val="0"/>
        <w:topLinePunct/>
        <w:spacing w:line="460" w:lineRule="exact"/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                                                   </w:t>
      </w:r>
    </w:p>
    <w:p w14:paraId="7A48D897">
      <w:pPr>
        <w:wordWrap w:val="0"/>
        <w:overflowPunct w:val="0"/>
        <w:topLinePunct/>
        <w:spacing w:line="460" w:lineRule="exact"/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                                                   </w:t>
      </w:r>
    </w:p>
    <w:p w14:paraId="26645065">
      <w:pPr>
        <w:wordWrap w:val="0"/>
        <w:overflowPunct w:val="0"/>
        <w:topLinePunct/>
        <w:spacing w:line="460" w:lineRule="exact"/>
        <w:rPr>
          <w:rFonts w:hint="eastAsia" w:ascii="宋体" w:hAnsi="宋体" w:eastAsia="宋体" w:cs="宋体"/>
          <w:color w:val="FF0000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                                                  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FF0000"/>
          <w:spacing w:val="0"/>
          <w:sz w:val="24"/>
          <w:szCs w:val="24"/>
          <w:shd w:val="clear" w:color="auto" w:fill="auto"/>
          <w:lang w:val="en-US" w:eastAsia="zh-CN"/>
        </w:rPr>
        <w:t xml:space="preserve">                                                 </w:t>
      </w:r>
    </w:p>
    <w:p w14:paraId="5D845F99">
      <w:pPr>
        <w:numPr>
          <w:ilvl w:val="0"/>
          <w:numId w:val="0"/>
        </w:numPr>
        <w:wordWrap/>
        <w:overflowPunct/>
        <w:topLinePunct w:val="0"/>
        <w:spacing w:line="460" w:lineRule="exact"/>
        <w:ind w:firstLine="6960" w:firstLineChars="2900"/>
        <w:rPr>
          <w:rFonts w:hint="eastAsia" w:ascii="宋体" w:hAnsi="宋体" w:eastAsia="宋体" w:cs="宋体"/>
          <w:color w:val="008BEC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008BEC"/>
          <w:spacing w:val="0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u w:val="none"/>
          <w:shd w:val="clear" w:color="auto" w:fill="auto"/>
          <w:lang w:val="en-US" w:eastAsia="zh-CN"/>
        </w:rPr>
        <w:t xml:space="preserve">                                                     </w:t>
      </w:r>
      <w:r>
        <w:rPr>
          <w:rFonts w:hint="eastAsia" w:ascii="宋体" w:hAnsi="宋体" w:eastAsia="宋体" w:cs="宋体"/>
          <w:color w:val="008BEC"/>
          <w:spacing w:val="0"/>
          <w:sz w:val="24"/>
          <w:szCs w:val="24"/>
          <w:shd w:val="clear" w:color="auto" w:fill="auto"/>
          <w:lang w:val="en-US" w:eastAsia="zh-CN"/>
        </w:rPr>
        <w:t xml:space="preserve">          </w:t>
      </w:r>
    </w:p>
    <w:p w14:paraId="08DD48A1">
      <w:pPr>
        <w:wordWrap w:val="0"/>
        <w:overflowPunct w:val="0"/>
        <w:topLinePunct/>
        <w:spacing w:line="460" w:lineRule="exact"/>
        <w:rPr>
          <w:rFonts w:hint="eastAsia" w:ascii="宋体" w:hAnsi="宋体" w:eastAsia="宋体" w:cs="宋体"/>
          <w:color w:val="008BEC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008BEC"/>
          <w:spacing w:val="0"/>
          <w:sz w:val="24"/>
          <w:szCs w:val="24"/>
          <w:shd w:val="clear" w:color="auto" w:fill="auto"/>
          <w:lang w:val="en-US" w:eastAsia="zh-CN"/>
        </w:rPr>
        <w:t xml:space="preserve">     </w:t>
      </w:r>
    </w:p>
    <w:p w14:paraId="1660EF8B">
      <w:pPr>
        <w:wordWrap w:val="0"/>
        <w:overflowPunct w:val="0"/>
        <w:topLinePunct/>
        <w:spacing w:line="460" w:lineRule="exact"/>
        <w:rPr>
          <w:rFonts w:hint="eastAsia" w:ascii="宋体" w:hAnsi="宋体" w:eastAsia="宋体" w:cs="宋体"/>
          <w:color w:val="008BEC"/>
          <w:spacing w:val="0"/>
          <w:sz w:val="24"/>
          <w:szCs w:val="24"/>
          <w:shd w:val="clear" w:color="auto" w:fill="auto"/>
          <w:lang w:val="en-US" w:eastAsia="zh-CN"/>
        </w:rPr>
      </w:pPr>
    </w:p>
    <w:p w14:paraId="5B98DAF2">
      <w:pPr>
        <w:wordWrap w:val="0"/>
        <w:overflowPunct w:val="0"/>
        <w:topLinePunct/>
        <w:spacing w:line="460" w:lineRule="exact"/>
        <w:rPr>
          <w:rFonts w:hint="eastAsia" w:ascii="宋体" w:hAnsi="宋体" w:eastAsia="宋体" w:cs="宋体"/>
          <w:color w:val="008BEC"/>
          <w:spacing w:val="0"/>
          <w:sz w:val="24"/>
          <w:szCs w:val="24"/>
          <w:shd w:val="clear" w:color="auto" w:fill="auto"/>
          <w:lang w:val="en-US" w:eastAsia="zh-CN"/>
        </w:rPr>
      </w:pPr>
    </w:p>
    <w:p w14:paraId="4473EDB2">
      <w:pPr>
        <w:wordWrap w:val="0"/>
        <w:overflowPunct w:val="0"/>
        <w:topLinePunct/>
        <w:spacing w:line="460" w:lineRule="exact"/>
        <w:rPr>
          <w:rFonts w:hint="eastAsia" w:ascii="宋体" w:hAnsi="宋体" w:eastAsia="宋体" w:cs="宋体"/>
          <w:color w:val="008BEC"/>
          <w:spacing w:val="0"/>
          <w:sz w:val="24"/>
          <w:szCs w:val="24"/>
          <w:shd w:val="clear" w:color="auto" w:fill="auto"/>
          <w:lang w:val="en-US" w:eastAsia="zh-CN"/>
        </w:rPr>
      </w:pPr>
    </w:p>
    <w:p w14:paraId="1FA44374">
      <w:pPr>
        <w:wordWrap w:val="0"/>
        <w:overflowPunct w:val="0"/>
        <w:topLinePunct/>
        <w:spacing w:line="460" w:lineRule="exact"/>
        <w:rPr>
          <w:rFonts w:hint="eastAsia" w:ascii="宋体" w:hAnsi="宋体" w:eastAsia="宋体" w:cs="宋体"/>
          <w:color w:val="008BEC"/>
          <w:spacing w:val="0"/>
          <w:sz w:val="24"/>
          <w:szCs w:val="24"/>
          <w:shd w:val="clear" w:color="auto" w:fill="auto"/>
          <w:lang w:val="en-US" w:eastAsia="zh-CN"/>
        </w:rPr>
      </w:pPr>
    </w:p>
    <w:p w14:paraId="1F42ECEE">
      <w:pPr>
        <w:wordWrap w:val="0"/>
        <w:overflowPunct w:val="0"/>
        <w:topLinePunct/>
        <w:spacing w:line="460" w:lineRule="exact"/>
        <w:rPr>
          <w:rFonts w:hint="eastAsia" w:ascii="宋体" w:hAnsi="宋体" w:eastAsia="宋体" w:cs="宋体"/>
          <w:color w:val="008BEC"/>
          <w:spacing w:val="0"/>
          <w:sz w:val="24"/>
          <w:szCs w:val="24"/>
          <w:shd w:val="clear" w:color="auto" w:fill="auto"/>
          <w:lang w:val="en-US" w:eastAsia="zh-CN"/>
        </w:rPr>
      </w:pPr>
    </w:p>
    <w:p w14:paraId="2419A7EB"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调研问卷内容注释</w:t>
      </w:r>
    </w:p>
    <w:p w14:paraId="08995FC2">
      <w:pPr>
        <w:numPr>
          <w:ilvl w:val="0"/>
          <w:numId w:val="0"/>
        </w:numPr>
        <w:spacing w:line="360" w:lineRule="auto"/>
        <w:ind w:firstLine="480" w:firstLineChars="200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Style w:val="13"/>
          <w:rFonts w:hint="eastAsia" w:ascii="宋体" w:hAnsi="宋体" w:eastAsia="宋体" w:cs="宋体"/>
          <w:b w:val="0"/>
          <w:bCs/>
          <w:i w:val="0"/>
          <w:iCs w:val="0"/>
          <w:color w:val="auto"/>
          <w:sz w:val="24"/>
          <w:szCs w:val="24"/>
          <w:lang w:val="en-US" w:eastAsia="zh-CN"/>
        </w:rPr>
        <w:t>考虑到数据准确性要求，以下指标数据应由质检、环保、生产等相关职能部门出具，经分管领导确认后填报。</w:t>
      </w:r>
    </w:p>
    <w:p w14:paraId="6699DC35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1.2025年度新产品总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收入占比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（%）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=（新产品收入总额</w:t>
      </w:r>
      <w:r>
        <w:rPr>
          <w:rFonts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>÷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营业收入总额）</w:t>
      </w:r>
      <w:r>
        <w:rPr>
          <w:rFonts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 xml:space="preserve">×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100%</w:t>
      </w:r>
    </w:p>
    <w:p w14:paraId="601C7989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2.高端产品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收入占比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（%）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=（高端产品收入额</w:t>
      </w:r>
      <w:r>
        <w:rPr>
          <w:rFonts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>÷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营业收入总额）</w:t>
      </w:r>
      <w:r>
        <w:rPr>
          <w:rFonts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 xml:space="preserve">×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100%</w:t>
      </w:r>
    </w:p>
    <w:p w14:paraId="22750940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（高端产品指</w:t>
      </w:r>
      <w:r>
        <w:rPr>
          <w:rFonts w:ascii="宋体" w:hAnsi="宋体" w:eastAsia="宋体" w:cs="宋体"/>
          <w:color w:val="auto"/>
          <w:sz w:val="24"/>
          <w:szCs w:val="24"/>
        </w:rPr>
        <w:t>适配严苛工况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满足高端装备、航空航天、轨道交通、新能源车等产业配套和主机配套要求，具备较高性能的产品。）</w:t>
      </w:r>
    </w:p>
    <w:p w14:paraId="69D68B96">
      <w:pPr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3.智能型产品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收入占比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（%）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=（智能型产品收入额</w:t>
      </w:r>
      <w:r>
        <w:rPr>
          <w:rFonts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>÷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营业收入总额）</w:t>
      </w:r>
      <w:r>
        <w:rPr>
          <w:rFonts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 xml:space="preserve">×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100%</w:t>
      </w:r>
    </w:p>
    <w:p w14:paraId="7CFA3C8E">
      <w:pPr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color w:val="auto"/>
          <w:sz w:val="24"/>
          <w:szCs w:val="24"/>
        </w:rPr>
        <w:t>智能型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产品是</w:t>
      </w:r>
      <w:r>
        <w:rPr>
          <w:rFonts w:ascii="宋体" w:hAnsi="宋体" w:eastAsia="宋体" w:cs="宋体"/>
          <w:color w:val="auto"/>
          <w:sz w:val="24"/>
          <w:szCs w:val="24"/>
        </w:rPr>
        <w:t>具备</w:t>
      </w:r>
      <w:r>
        <w:rPr>
          <w:rStyle w:val="13"/>
          <w:rFonts w:ascii="宋体" w:hAnsi="宋体" w:eastAsia="宋体" w:cs="宋体"/>
          <w:b w:val="0"/>
          <w:bCs/>
          <w:color w:val="auto"/>
          <w:sz w:val="24"/>
          <w:szCs w:val="24"/>
        </w:rPr>
        <w:t>自感知、自监测、自适应调控、预警、数据上传、联动控制系统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等功</w:t>
      </w:r>
      <w:r>
        <w:rPr>
          <w:rFonts w:ascii="宋体" w:hAnsi="宋体" w:eastAsia="宋体" w:cs="宋体"/>
          <w:color w:val="auto"/>
          <w:sz w:val="24"/>
          <w:szCs w:val="24"/>
        </w:rPr>
        <w:t>能，可适配实现智能化装备配套等新产品的升级形态。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)</w:t>
      </w:r>
    </w:p>
    <w:p w14:paraId="484F1050">
      <w:pPr>
        <w:numPr>
          <w:ilvl w:val="-1"/>
          <w:numId w:val="0"/>
        </w:numPr>
        <w:spacing w:line="360" w:lineRule="auto"/>
        <w:ind w:left="479" w:leftChars="228" w:firstLine="0" w:firstLineChars="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4.绿色环保型产品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收入占比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（%）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=（绿色环保型产品收入额</w:t>
      </w:r>
      <w:r>
        <w:rPr>
          <w:rFonts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>÷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营业收入总额）</w:t>
      </w:r>
      <w:r>
        <w:rPr>
          <w:rFonts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 xml:space="preserve">×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100%</w:t>
      </w:r>
    </w:p>
    <w:p w14:paraId="1EAE212F">
      <w:pPr>
        <w:numPr>
          <w:ilvl w:val="-1"/>
          <w:numId w:val="0"/>
        </w:numPr>
        <w:spacing w:line="360" w:lineRule="auto"/>
        <w:ind w:left="0" w:leftChars="0" w:firstLine="480" w:firstLineChars="200"/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（</w:t>
      </w:r>
      <w:r>
        <w:rPr>
          <w:rFonts w:ascii="宋体" w:hAnsi="宋体" w:eastAsia="宋体" w:cs="宋体"/>
          <w:color w:val="auto"/>
          <w:sz w:val="24"/>
          <w:szCs w:val="24"/>
        </w:rPr>
        <w:t>绿色环保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型产品</w:t>
      </w:r>
      <w:r>
        <w:rPr>
          <w:rFonts w:ascii="宋体" w:hAnsi="宋体" w:eastAsia="宋体" w:cs="宋体"/>
          <w:color w:val="auto"/>
          <w:sz w:val="24"/>
          <w:szCs w:val="24"/>
        </w:rPr>
        <w:t>是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具备</w:t>
      </w:r>
      <w:r>
        <w:rPr>
          <w:rStyle w:val="13"/>
          <w:rFonts w:ascii="宋体" w:hAnsi="宋体" w:eastAsia="宋体" w:cs="宋体"/>
          <w:b w:val="0"/>
          <w:bCs/>
          <w:color w:val="auto"/>
          <w:sz w:val="24"/>
          <w:szCs w:val="24"/>
        </w:rPr>
        <w:t>全生命周期低碳、低污染、安全无害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特性</w:t>
      </w:r>
      <w:r>
        <w:rPr>
          <w:rFonts w:ascii="宋体" w:hAnsi="宋体" w:eastAsia="宋体" w:cs="宋体"/>
          <w:color w:val="auto"/>
          <w:sz w:val="24"/>
          <w:szCs w:val="24"/>
        </w:rPr>
        <w:t>，满足国内外环保法规限值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的绿色低碳</w:t>
      </w:r>
      <w:r>
        <w:rPr>
          <w:rFonts w:ascii="宋体" w:hAnsi="宋体" w:eastAsia="宋体" w:cs="宋体"/>
          <w:color w:val="auto"/>
          <w:sz w:val="24"/>
          <w:szCs w:val="24"/>
        </w:rPr>
        <w:t>转型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升级新产</w:t>
      </w:r>
      <w:r>
        <w:rPr>
          <w:rFonts w:ascii="宋体" w:hAnsi="宋体" w:eastAsia="宋体" w:cs="宋体"/>
          <w:color w:val="auto"/>
          <w:sz w:val="24"/>
          <w:szCs w:val="24"/>
        </w:rPr>
        <w:t>品。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</w:t>
      </w:r>
    </w:p>
    <w:p w14:paraId="0E98ED87">
      <w:pPr>
        <w:numPr>
          <w:ilvl w:val="-1"/>
          <w:numId w:val="0"/>
        </w:numPr>
        <w:spacing w:line="360" w:lineRule="auto"/>
        <w:ind w:leftChars="0" w:firstLine="480" w:firstLineChars="200"/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5.过程能力指数（Cpk）：表示过程在稳定可控的状态下，能使其产品达到可接受标准程度的指标，</w:t>
      </w:r>
      <w:r>
        <w:rPr>
          <w:rStyle w:val="13"/>
          <w:rFonts w:hint="eastAsia" w:ascii="宋体" w:hAnsi="宋体" w:eastAsia="宋体" w:cs="宋体"/>
          <w:b w:val="0"/>
          <w:bCs w:val="0"/>
          <w:color w:val="auto"/>
          <w:sz w:val="24"/>
        </w:rPr>
        <w:t>详细计算参考 GB/T  40681.4—2021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。</w:t>
      </w:r>
    </w:p>
    <w:p w14:paraId="19BF2FC8">
      <w:pPr>
        <w:numPr>
          <w:ilvl w:val="0"/>
          <w:numId w:val="0"/>
        </w:numPr>
        <w:spacing w:line="360" w:lineRule="auto"/>
        <w:ind w:leftChars="0" w:firstLine="480" w:firstLineChars="200"/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6.产品一次交验合格率（%）=检验合格品数量÷检验产品总数量× 100%。</w:t>
      </w:r>
    </w:p>
    <w:p w14:paraId="6D839833">
      <w:pPr>
        <w:numPr>
          <w:ilvl w:val="0"/>
          <w:numId w:val="0"/>
        </w:numPr>
        <w:spacing w:line="360" w:lineRule="auto"/>
        <w:ind w:leftChars="0" w:firstLine="480" w:firstLineChars="200"/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7.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内部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质量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损失率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（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%）=（</w:t>
      </w:r>
      <w:r>
        <w:rPr>
          <w:rStyle w:val="13"/>
          <w:rFonts w:ascii="宋体" w:hAnsi="宋体" w:eastAsia="宋体" w:cs="宋体"/>
          <w:b w:val="0"/>
          <w:bCs/>
          <w:color w:val="auto"/>
          <w:sz w:val="24"/>
          <w:szCs w:val="24"/>
        </w:rPr>
        <w:t>年度内部损失总和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 xml:space="preserve">÷ </w:t>
      </w:r>
      <w:r>
        <w:rPr>
          <w:rStyle w:val="13"/>
          <w:rFonts w:ascii="宋体" w:hAnsi="宋体" w:eastAsia="宋体" w:cs="宋体"/>
          <w:b w:val="0"/>
          <w:bCs/>
          <w:color w:val="auto"/>
          <w:sz w:val="24"/>
          <w:szCs w:val="24"/>
        </w:rPr>
        <w:t>年度总产值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）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× 100%</w:t>
      </w:r>
    </w:p>
    <w:p w14:paraId="2C468040">
      <w:pPr>
        <w:numPr>
          <w:ilvl w:val="0"/>
          <w:numId w:val="0"/>
        </w:numPr>
        <w:spacing w:line="360" w:lineRule="auto"/>
        <w:ind w:leftChars="0" w:firstLine="480" w:firstLineChars="200"/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</w:rPr>
      </w:pP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8.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外部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质量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损失率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（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%）=（</w:t>
      </w:r>
      <w:r>
        <w:rPr>
          <w:rStyle w:val="13"/>
          <w:rFonts w:ascii="宋体" w:hAnsi="宋体" w:eastAsia="宋体" w:cs="宋体"/>
          <w:b w:val="0"/>
          <w:bCs/>
          <w:color w:val="auto"/>
          <w:sz w:val="24"/>
          <w:szCs w:val="24"/>
        </w:rPr>
        <w:t>年度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外</w:t>
      </w:r>
      <w:r>
        <w:rPr>
          <w:rStyle w:val="13"/>
          <w:rFonts w:ascii="宋体" w:hAnsi="宋体" w:eastAsia="宋体" w:cs="宋体"/>
          <w:b w:val="0"/>
          <w:bCs/>
          <w:color w:val="auto"/>
          <w:sz w:val="24"/>
          <w:szCs w:val="24"/>
        </w:rPr>
        <w:t>部损失总和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 xml:space="preserve">÷ </w:t>
      </w:r>
      <w:r>
        <w:rPr>
          <w:rStyle w:val="13"/>
          <w:rFonts w:ascii="宋体" w:hAnsi="宋体" w:eastAsia="宋体" w:cs="宋体"/>
          <w:b w:val="0"/>
          <w:bCs/>
          <w:color w:val="auto"/>
          <w:sz w:val="24"/>
          <w:szCs w:val="24"/>
        </w:rPr>
        <w:t>年度总产值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）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× 100%</w:t>
      </w:r>
    </w:p>
    <w:p w14:paraId="6A5A85CB">
      <w:pPr>
        <w:numPr>
          <w:ilvl w:val="0"/>
          <w:numId w:val="0"/>
        </w:numPr>
        <w:spacing w:line="360" w:lineRule="auto"/>
        <w:ind w:leftChars="0" w:firstLine="480" w:firstLineChars="200"/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9.产品平均缺陷率（%）=（</w:t>
      </w:r>
      <w:r>
        <w:rPr>
          <w:rStyle w:val="13"/>
          <w:rFonts w:ascii="宋体" w:hAnsi="宋体" w:eastAsia="宋体" w:cs="宋体"/>
          <w:b w:val="0"/>
          <w:bCs/>
          <w:color w:val="auto"/>
          <w:sz w:val="24"/>
          <w:szCs w:val="24"/>
        </w:rPr>
        <w:t>年度检验发现的不良品数量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÷</w:t>
      </w:r>
      <w:r>
        <w:rPr>
          <w:rStyle w:val="13"/>
          <w:rFonts w:ascii="宋体" w:hAnsi="宋体" w:eastAsia="宋体" w:cs="宋体"/>
          <w:b w:val="0"/>
          <w:bCs/>
          <w:color w:val="auto"/>
          <w:sz w:val="24"/>
          <w:szCs w:val="24"/>
        </w:rPr>
        <w:t>年度检验总数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）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× 10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vertAlign w:val="superscript"/>
          <w:lang w:val="en-US" w:eastAsia="zh-CN"/>
        </w:rPr>
        <w:t>6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 xml:space="preserve"> （</w:t>
      </w:r>
      <w:r>
        <w:rPr>
          <w:rStyle w:val="13"/>
          <w:rFonts w:ascii="宋体" w:hAnsi="宋体" w:eastAsia="宋体" w:cs="宋体"/>
          <w:b w:val="0"/>
          <w:bCs/>
          <w:color w:val="auto"/>
          <w:sz w:val="24"/>
          <w:szCs w:val="24"/>
        </w:rPr>
        <w:t xml:space="preserve">计算结果单位ppm 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）</w:t>
      </w:r>
    </w:p>
    <w:p w14:paraId="6A1E6878">
      <w:pPr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10.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年度质量改进收益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（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万元）=</w:t>
      </w:r>
      <w:r>
        <w:rPr>
          <w:rStyle w:val="13"/>
          <w:rFonts w:ascii="宋体" w:hAnsi="宋体" w:eastAsia="宋体" w:cs="宋体"/>
          <w:b w:val="0"/>
          <w:bCs/>
          <w:color w:val="auto"/>
          <w:sz w:val="24"/>
          <w:szCs w:val="24"/>
        </w:rPr>
        <w:t>年度质量改进收入—年度质量改进成本</w:t>
      </w:r>
      <w:r>
        <w:rPr>
          <w:rStyle w:val="13"/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。</w:t>
      </w:r>
    </w:p>
    <w:p w14:paraId="58140A52">
      <w:pPr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11.2025年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绿色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能源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用量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占比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（%）=（年度应用绿电量</w:t>
      </w:r>
      <w:r>
        <w:rPr>
          <w:rFonts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>÷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>年度用电总量）</w:t>
      </w:r>
      <w:r>
        <w:rPr>
          <w:rFonts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 xml:space="preserve">×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100%</w:t>
      </w:r>
    </w:p>
    <w:p w14:paraId="3D75AE76">
      <w:pPr>
        <w:numPr>
          <w:ilvl w:val="0"/>
          <w:numId w:val="0"/>
        </w:num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>12.2025年碳排放总量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（</w:t>
      </w:r>
      <w:r>
        <w:rPr>
          <w:rFonts w:ascii="宋体" w:hAnsi="宋体" w:eastAsia="宋体" w:cs="宋体"/>
          <w:color w:val="auto"/>
          <w:sz w:val="24"/>
          <w:szCs w:val="24"/>
        </w:rPr>
        <w:t>tCO₂e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）：企业根据官方或第三方监测数据填报即可。</w:t>
      </w:r>
    </w:p>
    <w:p w14:paraId="616432B2">
      <w:pPr>
        <w:numPr>
          <w:ilvl w:val="0"/>
          <w:numId w:val="0"/>
        </w:num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u w:val="none"/>
          <w:shd w:val="clear" w:color="auto" w:fill="auto"/>
          <w:lang w:val="en-US" w:eastAsia="zh-CN"/>
        </w:rPr>
        <w:t>13.2025年碳排放强度（</w:t>
      </w:r>
      <w:r>
        <w:rPr>
          <w:rFonts w:ascii="宋体" w:hAnsi="宋体" w:eastAsia="宋体" w:cs="宋体"/>
          <w:color w:val="auto"/>
          <w:sz w:val="24"/>
          <w:szCs w:val="24"/>
        </w:rPr>
        <w:t>tCO₂e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u w:val="none"/>
          <w:shd w:val="clear" w:color="auto" w:fill="auto"/>
          <w:lang w:val="en-US" w:eastAsia="zh-CN"/>
        </w:rPr>
        <w:t>/t产品）=年度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auto"/>
          <w:lang w:val="en-US" w:eastAsia="zh-CN"/>
        </w:rPr>
        <w:t>碳排放总量</w:t>
      </w:r>
      <w:r>
        <w:rPr>
          <w:rFonts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>÷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>年度产品总产量</w:t>
      </w:r>
    </w:p>
    <w:p w14:paraId="1638C10B">
      <w:pPr>
        <w:spacing w:line="360" w:lineRule="auto"/>
        <w:ind w:firstLine="480" w:firstLineChars="200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14.2025年一般工业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u w:val="none"/>
          <w:shd w:val="clear" w:color="auto" w:fill="auto"/>
          <w:lang w:val="en-US" w:eastAsia="zh-CN"/>
        </w:rPr>
        <w:t>固废排放总量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（t）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u w:val="none"/>
          <w:shd w:val="clear" w:color="auto" w:fill="auto"/>
          <w:lang w:val="en-US" w:eastAsia="zh-CN"/>
        </w:rPr>
        <w:t>=当年产生的一般工业固废量+往年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未综合利用</w:t>
      </w:r>
      <w:r>
        <w:rPr>
          <w:rStyle w:val="14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贮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存量</w:t>
      </w:r>
    </w:p>
    <w:p w14:paraId="25F6A878">
      <w:pPr>
        <w:spacing w:line="360" w:lineRule="auto"/>
        <w:ind w:firstLine="480" w:firstLineChars="200"/>
        <w:rPr>
          <w:rFonts w:hint="default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15.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u w:val="none"/>
          <w:shd w:val="clear" w:color="auto" w:fill="auto"/>
          <w:lang w:val="en-US" w:eastAsia="zh-CN"/>
        </w:rPr>
        <w:t>2025年一般工业固废综合利用率（%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）=当年一般工业</w:t>
      </w:r>
      <w:r>
        <w:rPr>
          <w:rStyle w:val="14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固废</w:t>
      </w:r>
      <w:r>
        <w:rPr>
          <w:rStyle w:val="14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综合</w:t>
      </w:r>
      <w:r>
        <w:rPr>
          <w:rStyle w:val="14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利用量÷</w:t>
      </w:r>
      <w:r>
        <w:rPr>
          <w:rStyle w:val="14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eastAsia="zh-CN"/>
        </w:rPr>
        <w:t>（</w:t>
      </w:r>
      <w:r>
        <w:rPr>
          <w:rStyle w:val="14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当年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一般工业</w:t>
      </w:r>
      <w:r>
        <w:rPr>
          <w:rStyle w:val="14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固废产生量+往年</w:t>
      </w:r>
      <w:r>
        <w:rPr>
          <w:rStyle w:val="14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未综合利用</w:t>
      </w:r>
      <w:r>
        <w:rPr>
          <w:rStyle w:val="14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贮存量)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2"/>
          <w:sz w:val="24"/>
          <w:szCs w:val="24"/>
          <w:shd w:val="clear" w:color="auto" w:fill="auto"/>
          <w:lang w:val="en-US" w:eastAsia="zh-CN" w:bidi="ar"/>
        </w:rPr>
        <w:t>×</w:t>
      </w:r>
      <w:r>
        <w:rPr>
          <w:rFonts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 xml:space="preserve"> 100%</w:t>
      </w:r>
    </w:p>
    <w:p w14:paraId="4DEF46F6">
      <w:pPr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16.单位产值综合能耗=综合能耗（吨标准煤）</w:t>
      </w:r>
      <w:r>
        <w:rPr>
          <w:rFonts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>÷</w:t>
      </w:r>
      <w:r>
        <w:rPr>
          <w:rFonts w:hint="eastAsia" w:ascii="宋体" w:hAnsi="宋体" w:eastAsia="宋体" w:cs="宋体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  <w:t>工业总产值（万元）</w:t>
      </w:r>
    </w:p>
    <w:p w14:paraId="68A51C04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pacing w:val="0"/>
          <w:sz w:val="24"/>
          <w:szCs w:val="24"/>
          <w:shd w:val="clear" w:color="auto" w:fill="auto"/>
          <w:lang w:val="en-US" w:eastAsia="zh-CN"/>
        </w:rPr>
        <w:t>17.关键设备数控化率（%）=（数控设备台数 ÷ 关键设备总台数）× 100%</w:t>
      </w:r>
    </w:p>
    <w:p w14:paraId="2482A172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pacing w:val="0"/>
          <w:sz w:val="24"/>
          <w:szCs w:val="24"/>
          <w:shd w:val="clear" w:color="auto" w:fill="auto"/>
          <w:lang w:val="en-US" w:eastAsia="zh-CN"/>
        </w:rPr>
        <w:t>18.生产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设备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数字化普及率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%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）=（</w:t>
      </w:r>
      <w:r>
        <w:rPr>
          <w:rFonts w:ascii="宋体" w:hAnsi="宋体" w:eastAsia="宋体" w:cs="宋体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联网的设备数 ÷ 生产设备总数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）</w:t>
      </w:r>
      <w:r>
        <w:rPr>
          <w:rFonts w:ascii="宋体" w:hAnsi="宋体" w:eastAsia="宋体" w:cs="宋体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× 100%</w:t>
      </w:r>
    </w:p>
    <w:p w14:paraId="4E6D4620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19.关键工序自动化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率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%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）=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实现自动</w:t>
      </w:r>
      <w:r>
        <w:rPr>
          <w:rFonts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控制工序数 ÷ 关键工序总数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）</w:t>
      </w:r>
      <w:r>
        <w:rPr>
          <w:rFonts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× 100%</w:t>
      </w: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36346280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ascii="宋体" w:hAnsi="宋体" w:eastAsia="宋体" w:cs="宋体"/>
          <w:i w:val="0"/>
          <w:i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20.</w:t>
      </w:r>
      <w:r>
        <w:rPr>
          <w:rFonts w:hint="eastAsia" w:ascii="宋体" w:hAnsi="宋体" w:eastAsia="宋体" w:cs="宋体"/>
          <w:b w:val="0"/>
          <w:bCs w:val="0"/>
          <w:color w:val="000000"/>
          <w:spacing w:val="0"/>
          <w:sz w:val="24"/>
          <w:szCs w:val="24"/>
          <w:shd w:val="clear" w:color="auto" w:fill="auto"/>
          <w:lang w:val="en-US" w:eastAsia="zh-CN"/>
        </w:rPr>
        <w:t>应用人工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智能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技术场景比例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%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）=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（已</w:t>
      </w:r>
      <w:r>
        <w:rPr>
          <w:rFonts w:ascii="宋体" w:hAnsi="宋体" w:eastAsia="宋体" w:cs="宋体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应用AI场景数 ÷ 主要业务场景总数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）</w:t>
      </w:r>
      <w:r>
        <w:rPr>
          <w:rFonts w:ascii="宋体" w:hAnsi="宋体" w:eastAsia="宋体" w:cs="宋体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× 100%</w:t>
      </w:r>
    </w:p>
    <w:p w14:paraId="4B12EFD5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spacing w:val="0"/>
          <w:sz w:val="24"/>
          <w:szCs w:val="24"/>
          <w:u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pacing w:val="0"/>
          <w:sz w:val="24"/>
          <w:szCs w:val="24"/>
          <w:shd w:val="clear" w:color="auto" w:fill="auto"/>
          <w:lang w:val="en-US" w:eastAsia="zh-CN"/>
        </w:rPr>
        <w:t>21.生产效率提升（%）=[（现单位工时产出 - 原单位工时产出）÷ 原单位工时产出] ×100%</w:t>
      </w: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u w:val="none"/>
          <w:shd w:val="clear" w:color="auto" w:fill="auto"/>
          <w:lang w:val="en-US" w:eastAsia="zh-CN"/>
        </w:rPr>
        <w:t xml:space="preserve">    </w:t>
      </w:r>
    </w:p>
    <w:p w14:paraId="405A6530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pacing w:val="0"/>
          <w:sz w:val="24"/>
          <w:szCs w:val="24"/>
          <w:shd w:val="clear" w:color="auto" w:fill="auto"/>
          <w:lang w:val="en-US" w:eastAsia="zh-CN"/>
        </w:rPr>
        <w:t>22.产品不良率下降（%）=[（原不良率 - 现不良率）÷ 原不良率] × 100%</w:t>
      </w:r>
    </w:p>
    <w:p w14:paraId="7642B705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000000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pacing w:val="0"/>
          <w:sz w:val="24"/>
          <w:szCs w:val="24"/>
          <w:shd w:val="clear" w:color="auto" w:fill="auto"/>
          <w:lang w:val="en-US" w:eastAsia="zh-CN"/>
        </w:rPr>
        <w:t>（不良率 = （不合格品数量 ÷ 总产量）× 100%）</w:t>
      </w:r>
    </w:p>
    <w:p w14:paraId="4C100B03">
      <w:pPr>
        <w:wordWrap w:val="0"/>
        <w:overflowPunct w:val="0"/>
        <w:topLinePunct/>
        <w:spacing w:line="460" w:lineRule="exact"/>
        <w:rPr>
          <w:rFonts w:hint="eastAsia" w:asciiTheme="majorEastAsia" w:hAnsiTheme="majorEastAsia" w:eastAsiaTheme="majorEastAsia"/>
          <w:b w:val="0"/>
          <w:bCs w:val="0"/>
          <w:color w:val="auto"/>
          <w:spacing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008BEC"/>
          <w:spacing w:val="0"/>
          <w:sz w:val="24"/>
          <w:szCs w:val="24"/>
          <w:shd w:val="clear" w:color="auto" w:fill="auto"/>
          <w:lang w:val="en-US" w:eastAsia="zh-CN"/>
        </w:rPr>
        <w:t xml:space="preserve">           </w:t>
      </w:r>
    </w:p>
    <w:sectPr>
      <w:headerReference r:id="rId3" w:type="default"/>
      <w:footerReference r:id="rId4" w:type="default"/>
      <w:pgSz w:w="11906" w:h="16838"/>
      <w:pgMar w:top="1440" w:right="1140" w:bottom="1134" w:left="11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1" w:fontKey="{91BE5FBE-EA38-4F00-9581-F5DA566F73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3AF30">
    <w:pPr>
      <w:pStyle w:val="6"/>
      <w:spacing w:line="190" w:lineRule="auto"/>
      <w:ind w:left="276"/>
      <w:rPr>
        <w:sz w:val="15"/>
        <w:szCs w:val="15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1EE13">
    <w:pPr>
      <w:pStyle w:val="6"/>
      <w:spacing w:before="179" w:line="221" w:lineRule="auto"/>
      <w:ind w:left="9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B83E5E"/>
    <w:multiLevelType w:val="singleLevel"/>
    <w:tmpl w:val="7FB83E5E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revisionView w:markup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mODFkZjA1MmI5Y2ZiYzc1MDQ0ZDA0ZTFjM2M4OGIifQ=="/>
  </w:docVars>
  <w:rsids>
    <w:rsidRoot w:val="00A82A95"/>
    <w:rsid w:val="00000EAC"/>
    <w:rsid w:val="00015548"/>
    <w:rsid w:val="00025FF6"/>
    <w:rsid w:val="000362E0"/>
    <w:rsid w:val="00051E67"/>
    <w:rsid w:val="0008233D"/>
    <w:rsid w:val="00086D61"/>
    <w:rsid w:val="00091767"/>
    <w:rsid w:val="000A27BB"/>
    <w:rsid w:val="000A34C4"/>
    <w:rsid w:val="000A606E"/>
    <w:rsid w:val="000C17FA"/>
    <w:rsid w:val="000C6584"/>
    <w:rsid w:val="000E0FCD"/>
    <w:rsid w:val="000E2CB9"/>
    <w:rsid w:val="0010712F"/>
    <w:rsid w:val="001136C9"/>
    <w:rsid w:val="001365DE"/>
    <w:rsid w:val="00174EA9"/>
    <w:rsid w:val="001E30E4"/>
    <w:rsid w:val="001F0938"/>
    <w:rsid w:val="00203518"/>
    <w:rsid w:val="002D48CE"/>
    <w:rsid w:val="002E7CDA"/>
    <w:rsid w:val="002F4D87"/>
    <w:rsid w:val="00301EA6"/>
    <w:rsid w:val="003456C5"/>
    <w:rsid w:val="00351B78"/>
    <w:rsid w:val="00357630"/>
    <w:rsid w:val="0038308F"/>
    <w:rsid w:val="003964FD"/>
    <w:rsid w:val="003A0EB9"/>
    <w:rsid w:val="003A3729"/>
    <w:rsid w:val="003B0B12"/>
    <w:rsid w:val="003C00BF"/>
    <w:rsid w:val="00401C9E"/>
    <w:rsid w:val="0041375F"/>
    <w:rsid w:val="00447AA6"/>
    <w:rsid w:val="00466721"/>
    <w:rsid w:val="004778A3"/>
    <w:rsid w:val="00490945"/>
    <w:rsid w:val="004A2A19"/>
    <w:rsid w:val="004A4386"/>
    <w:rsid w:val="004C27E5"/>
    <w:rsid w:val="004C5FBF"/>
    <w:rsid w:val="005264EB"/>
    <w:rsid w:val="00544477"/>
    <w:rsid w:val="005468E2"/>
    <w:rsid w:val="0059154D"/>
    <w:rsid w:val="00597F05"/>
    <w:rsid w:val="005A7F0E"/>
    <w:rsid w:val="005D586A"/>
    <w:rsid w:val="00614C7F"/>
    <w:rsid w:val="00633B05"/>
    <w:rsid w:val="00636700"/>
    <w:rsid w:val="00651708"/>
    <w:rsid w:val="0069619F"/>
    <w:rsid w:val="006B0D0B"/>
    <w:rsid w:val="006B4533"/>
    <w:rsid w:val="006D2995"/>
    <w:rsid w:val="006D3850"/>
    <w:rsid w:val="00717493"/>
    <w:rsid w:val="0072574B"/>
    <w:rsid w:val="007310A1"/>
    <w:rsid w:val="00734EB1"/>
    <w:rsid w:val="00740753"/>
    <w:rsid w:val="00743DCB"/>
    <w:rsid w:val="007644DC"/>
    <w:rsid w:val="00785E34"/>
    <w:rsid w:val="007B1760"/>
    <w:rsid w:val="007B2FF3"/>
    <w:rsid w:val="007B33DC"/>
    <w:rsid w:val="007D4B44"/>
    <w:rsid w:val="007D5A1B"/>
    <w:rsid w:val="007E29E8"/>
    <w:rsid w:val="007E2CBA"/>
    <w:rsid w:val="0081432C"/>
    <w:rsid w:val="00823992"/>
    <w:rsid w:val="0082797C"/>
    <w:rsid w:val="00854693"/>
    <w:rsid w:val="008575E3"/>
    <w:rsid w:val="008627D2"/>
    <w:rsid w:val="008932C9"/>
    <w:rsid w:val="009315AC"/>
    <w:rsid w:val="00951F72"/>
    <w:rsid w:val="00967745"/>
    <w:rsid w:val="0097096F"/>
    <w:rsid w:val="00972E9A"/>
    <w:rsid w:val="0099241D"/>
    <w:rsid w:val="00996AD6"/>
    <w:rsid w:val="009F1C82"/>
    <w:rsid w:val="009F389F"/>
    <w:rsid w:val="009F3F96"/>
    <w:rsid w:val="00A12A77"/>
    <w:rsid w:val="00A14EEC"/>
    <w:rsid w:val="00A325F8"/>
    <w:rsid w:val="00A56B39"/>
    <w:rsid w:val="00A77EE3"/>
    <w:rsid w:val="00A82A95"/>
    <w:rsid w:val="00A919C6"/>
    <w:rsid w:val="00AA6CA2"/>
    <w:rsid w:val="00AE781A"/>
    <w:rsid w:val="00B04C16"/>
    <w:rsid w:val="00B178BB"/>
    <w:rsid w:val="00B26DD4"/>
    <w:rsid w:val="00B44C24"/>
    <w:rsid w:val="00B45CB9"/>
    <w:rsid w:val="00B63E04"/>
    <w:rsid w:val="00B936C2"/>
    <w:rsid w:val="00B95845"/>
    <w:rsid w:val="00BA58BF"/>
    <w:rsid w:val="00BA7637"/>
    <w:rsid w:val="00BB3506"/>
    <w:rsid w:val="00BF6542"/>
    <w:rsid w:val="00C057C4"/>
    <w:rsid w:val="00C2154E"/>
    <w:rsid w:val="00C271F5"/>
    <w:rsid w:val="00C446CB"/>
    <w:rsid w:val="00C65438"/>
    <w:rsid w:val="00C871D0"/>
    <w:rsid w:val="00CB3C1B"/>
    <w:rsid w:val="00CC4DEC"/>
    <w:rsid w:val="00CC7C05"/>
    <w:rsid w:val="00CD4310"/>
    <w:rsid w:val="00CD50B7"/>
    <w:rsid w:val="00CD527E"/>
    <w:rsid w:val="00CE3F21"/>
    <w:rsid w:val="00D01CCD"/>
    <w:rsid w:val="00D15447"/>
    <w:rsid w:val="00D24C39"/>
    <w:rsid w:val="00D3594A"/>
    <w:rsid w:val="00D51D4C"/>
    <w:rsid w:val="00D61C7A"/>
    <w:rsid w:val="00D80706"/>
    <w:rsid w:val="00DA224F"/>
    <w:rsid w:val="00DC5A43"/>
    <w:rsid w:val="00DD0581"/>
    <w:rsid w:val="00DF5FEA"/>
    <w:rsid w:val="00E04E19"/>
    <w:rsid w:val="00E05578"/>
    <w:rsid w:val="00E26523"/>
    <w:rsid w:val="00E52942"/>
    <w:rsid w:val="00E55CDB"/>
    <w:rsid w:val="00E62D1A"/>
    <w:rsid w:val="00EA0767"/>
    <w:rsid w:val="00EB48BC"/>
    <w:rsid w:val="00ED5309"/>
    <w:rsid w:val="00EE00D2"/>
    <w:rsid w:val="00EE3D13"/>
    <w:rsid w:val="00EE7DBA"/>
    <w:rsid w:val="00F2656C"/>
    <w:rsid w:val="00F41BD7"/>
    <w:rsid w:val="00F71AF9"/>
    <w:rsid w:val="00F729B3"/>
    <w:rsid w:val="00F73B18"/>
    <w:rsid w:val="00F80BDA"/>
    <w:rsid w:val="00F90A7B"/>
    <w:rsid w:val="00FB3105"/>
    <w:rsid w:val="00FB49CF"/>
    <w:rsid w:val="00FC1BAD"/>
    <w:rsid w:val="00FE3452"/>
    <w:rsid w:val="00FE4E91"/>
    <w:rsid w:val="00FE6162"/>
    <w:rsid w:val="00FF52DE"/>
    <w:rsid w:val="01A91C57"/>
    <w:rsid w:val="01D152A8"/>
    <w:rsid w:val="01E0355B"/>
    <w:rsid w:val="023F4747"/>
    <w:rsid w:val="026F3FE6"/>
    <w:rsid w:val="02C24BF1"/>
    <w:rsid w:val="030B2A3C"/>
    <w:rsid w:val="045A6C1D"/>
    <w:rsid w:val="04665314"/>
    <w:rsid w:val="06724B98"/>
    <w:rsid w:val="06846D8D"/>
    <w:rsid w:val="07052ECF"/>
    <w:rsid w:val="07291257"/>
    <w:rsid w:val="073A0ECF"/>
    <w:rsid w:val="0764271A"/>
    <w:rsid w:val="07835416"/>
    <w:rsid w:val="07A362E2"/>
    <w:rsid w:val="081849A4"/>
    <w:rsid w:val="081A3F5B"/>
    <w:rsid w:val="089B216C"/>
    <w:rsid w:val="0A2A5AA6"/>
    <w:rsid w:val="0A3C7BF9"/>
    <w:rsid w:val="0AF80FBD"/>
    <w:rsid w:val="0B392DA4"/>
    <w:rsid w:val="0BBB7290"/>
    <w:rsid w:val="0CC92211"/>
    <w:rsid w:val="0CDE3C9E"/>
    <w:rsid w:val="0D3E0E19"/>
    <w:rsid w:val="0E317DA1"/>
    <w:rsid w:val="0ED92289"/>
    <w:rsid w:val="0F6406CF"/>
    <w:rsid w:val="102A2753"/>
    <w:rsid w:val="113427EC"/>
    <w:rsid w:val="11E86790"/>
    <w:rsid w:val="123478B9"/>
    <w:rsid w:val="127D546B"/>
    <w:rsid w:val="13201BEB"/>
    <w:rsid w:val="13B44F8D"/>
    <w:rsid w:val="143047E3"/>
    <w:rsid w:val="14424D8C"/>
    <w:rsid w:val="146D26C3"/>
    <w:rsid w:val="149A7898"/>
    <w:rsid w:val="14A02886"/>
    <w:rsid w:val="14DE3B0C"/>
    <w:rsid w:val="14E32ED1"/>
    <w:rsid w:val="1512225F"/>
    <w:rsid w:val="152016CB"/>
    <w:rsid w:val="153A4C61"/>
    <w:rsid w:val="15E12B87"/>
    <w:rsid w:val="15FE532C"/>
    <w:rsid w:val="16460E4C"/>
    <w:rsid w:val="16AE0F3C"/>
    <w:rsid w:val="16BF4234"/>
    <w:rsid w:val="16F62F15"/>
    <w:rsid w:val="17B64C4E"/>
    <w:rsid w:val="18090077"/>
    <w:rsid w:val="185153BB"/>
    <w:rsid w:val="18BF683A"/>
    <w:rsid w:val="198D75C0"/>
    <w:rsid w:val="199E6861"/>
    <w:rsid w:val="19C63619"/>
    <w:rsid w:val="1ABF2C62"/>
    <w:rsid w:val="1C057BCF"/>
    <w:rsid w:val="1C275D99"/>
    <w:rsid w:val="1D7A2551"/>
    <w:rsid w:val="1E9228E7"/>
    <w:rsid w:val="1F4F45F4"/>
    <w:rsid w:val="20566C4C"/>
    <w:rsid w:val="2059568A"/>
    <w:rsid w:val="209260A8"/>
    <w:rsid w:val="20C34332"/>
    <w:rsid w:val="21AB121A"/>
    <w:rsid w:val="2260764C"/>
    <w:rsid w:val="22A14913"/>
    <w:rsid w:val="22C02AA3"/>
    <w:rsid w:val="22F865B5"/>
    <w:rsid w:val="232A32AD"/>
    <w:rsid w:val="233C45AC"/>
    <w:rsid w:val="23C4189A"/>
    <w:rsid w:val="23D36806"/>
    <w:rsid w:val="245F5449"/>
    <w:rsid w:val="24704055"/>
    <w:rsid w:val="24AF4D0F"/>
    <w:rsid w:val="24D2083C"/>
    <w:rsid w:val="24FE5B05"/>
    <w:rsid w:val="252B176C"/>
    <w:rsid w:val="253C090A"/>
    <w:rsid w:val="266670B3"/>
    <w:rsid w:val="26C44D90"/>
    <w:rsid w:val="26E964A1"/>
    <w:rsid w:val="274F29ED"/>
    <w:rsid w:val="27C63A14"/>
    <w:rsid w:val="28297816"/>
    <w:rsid w:val="28512B2A"/>
    <w:rsid w:val="288E61A5"/>
    <w:rsid w:val="28AD623C"/>
    <w:rsid w:val="28FD67FF"/>
    <w:rsid w:val="2987407F"/>
    <w:rsid w:val="2A043EF3"/>
    <w:rsid w:val="2A5C5058"/>
    <w:rsid w:val="2AB82385"/>
    <w:rsid w:val="2AF3017F"/>
    <w:rsid w:val="2AFC5785"/>
    <w:rsid w:val="2B177920"/>
    <w:rsid w:val="2C72580F"/>
    <w:rsid w:val="2CE3696D"/>
    <w:rsid w:val="2CE81574"/>
    <w:rsid w:val="2D790E8B"/>
    <w:rsid w:val="2D980C11"/>
    <w:rsid w:val="2E4A7D54"/>
    <w:rsid w:val="2F2C1CF6"/>
    <w:rsid w:val="2FAF682D"/>
    <w:rsid w:val="2FBF2340"/>
    <w:rsid w:val="308C0484"/>
    <w:rsid w:val="311B4939"/>
    <w:rsid w:val="31897D10"/>
    <w:rsid w:val="32284BA4"/>
    <w:rsid w:val="322C1F03"/>
    <w:rsid w:val="32BD3854"/>
    <w:rsid w:val="330115F3"/>
    <w:rsid w:val="338A1C5E"/>
    <w:rsid w:val="33F60808"/>
    <w:rsid w:val="340229ED"/>
    <w:rsid w:val="341B222F"/>
    <w:rsid w:val="344D4D0E"/>
    <w:rsid w:val="3555351F"/>
    <w:rsid w:val="358A6F34"/>
    <w:rsid w:val="36386162"/>
    <w:rsid w:val="365A5664"/>
    <w:rsid w:val="36620E3B"/>
    <w:rsid w:val="37B639C2"/>
    <w:rsid w:val="38003C16"/>
    <w:rsid w:val="38277341"/>
    <w:rsid w:val="38882341"/>
    <w:rsid w:val="3982065B"/>
    <w:rsid w:val="3A642C2C"/>
    <w:rsid w:val="3B2753A7"/>
    <w:rsid w:val="3C23288B"/>
    <w:rsid w:val="3C2D62F1"/>
    <w:rsid w:val="3D2312D9"/>
    <w:rsid w:val="3D2A703F"/>
    <w:rsid w:val="3D390BD6"/>
    <w:rsid w:val="3D475BB9"/>
    <w:rsid w:val="3D6020FE"/>
    <w:rsid w:val="3D954E00"/>
    <w:rsid w:val="3DA1641D"/>
    <w:rsid w:val="3DAE34A5"/>
    <w:rsid w:val="3E83537D"/>
    <w:rsid w:val="3EB05C6A"/>
    <w:rsid w:val="3F2D64E5"/>
    <w:rsid w:val="3FB125FF"/>
    <w:rsid w:val="41A62019"/>
    <w:rsid w:val="41C04416"/>
    <w:rsid w:val="41DA54D8"/>
    <w:rsid w:val="41E33342"/>
    <w:rsid w:val="420163F8"/>
    <w:rsid w:val="43E57697"/>
    <w:rsid w:val="44885FBC"/>
    <w:rsid w:val="4563661E"/>
    <w:rsid w:val="462406C2"/>
    <w:rsid w:val="46C266C1"/>
    <w:rsid w:val="46FE3A16"/>
    <w:rsid w:val="47387962"/>
    <w:rsid w:val="483D056E"/>
    <w:rsid w:val="49835829"/>
    <w:rsid w:val="498521CD"/>
    <w:rsid w:val="498B47F8"/>
    <w:rsid w:val="4A1D4D29"/>
    <w:rsid w:val="4A36253F"/>
    <w:rsid w:val="4B217CD3"/>
    <w:rsid w:val="4C240A37"/>
    <w:rsid w:val="4CA52613"/>
    <w:rsid w:val="4DB17500"/>
    <w:rsid w:val="4DC14286"/>
    <w:rsid w:val="4DD21759"/>
    <w:rsid w:val="4E1D1242"/>
    <w:rsid w:val="4E236CD3"/>
    <w:rsid w:val="4E982AE6"/>
    <w:rsid w:val="4EAC5E68"/>
    <w:rsid w:val="502D7735"/>
    <w:rsid w:val="509C7DFC"/>
    <w:rsid w:val="50A907D5"/>
    <w:rsid w:val="51687B3F"/>
    <w:rsid w:val="525E7A5F"/>
    <w:rsid w:val="54B30F16"/>
    <w:rsid w:val="54DB2DE5"/>
    <w:rsid w:val="55546ABA"/>
    <w:rsid w:val="55882196"/>
    <w:rsid w:val="55B915A0"/>
    <w:rsid w:val="576176AA"/>
    <w:rsid w:val="58043F9E"/>
    <w:rsid w:val="59682FCA"/>
    <w:rsid w:val="5A4C1385"/>
    <w:rsid w:val="5A4E0801"/>
    <w:rsid w:val="5A647BDD"/>
    <w:rsid w:val="5B3805F6"/>
    <w:rsid w:val="5BA22FE9"/>
    <w:rsid w:val="5BD139E6"/>
    <w:rsid w:val="5C187ACF"/>
    <w:rsid w:val="5CA442C0"/>
    <w:rsid w:val="5CAB3443"/>
    <w:rsid w:val="5CFE5482"/>
    <w:rsid w:val="5D16409E"/>
    <w:rsid w:val="5D92267F"/>
    <w:rsid w:val="5E8B37F3"/>
    <w:rsid w:val="5EA00F68"/>
    <w:rsid w:val="5ED17674"/>
    <w:rsid w:val="5EFA0193"/>
    <w:rsid w:val="5FDB4D43"/>
    <w:rsid w:val="603169D3"/>
    <w:rsid w:val="60883E13"/>
    <w:rsid w:val="63B85814"/>
    <w:rsid w:val="643248A8"/>
    <w:rsid w:val="64771A96"/>
    <w:rsid w:val="64E84913"/>
    <w:rsid w:val="64ED2D79"/>
    <w:rsid w:val="659B647C"/>
    <w:rsid w:val="660101F8"/>
    <w:rsid w:val="666D0F8D"/>
    <w:rsid w:val="66BE4924"/>
    <w:rsid w:val="67220C03"/>
    <w:rsid w:val="6753700F"/>
    <w:rsid w:val="680F4B38"/>
    <w:rsid w:val="681D3DC4"/>
    <w:rsid w:val="68F42C37"/>
    <w:rsid w:val="69056712"/>
    <w:rsid w:val="693449D7"/>
    <w:rsid w:val="69A55357"/>
    <w:rsid w:val="69BD39B2"/>
    <w:rsid w:val="6A0445F0"/>
    <w:rsid w:val="6B574256"/>
    <w:rsid w:val="6CEE4A3F"/>
    <w:rsid w:val="6DA24666"/>
    <w:rsid w:val="6EED3D47"/>
    <w:rsid w:val="6EF77B06"/>
    <w:rsid w:val="6EF85F1F"/>
    <w:rsid w:val="6F1F0DC2"/>
    <w:rsid w:val="6F9836F2"/>
    <w:rsid w:val="6FB87339"/>
    <w:rsid w:val="700B4E42"/>
    <w:rsid w:val="701244DA"/>
    <w:rsid w:val="705F2A7E"/>
    <w:rsid w:val="710827DB"/>
    <w:rsid w:val="712376FB"/>
    <w:rsid w:val="71610F98"/>
    <w:rsid w:val="71CD75F1"/>
    <w:rsid w:val="71EC37D0"/>
    <w:rsid w:val="72DA014C"/>
    <w:rsid w:val="72EB0A43"/>
    <w:rsid w:val="73AD3F4B"/>
    <w:rsid w:val="743A27F6"/>
    <w:rsid w:val="74BA691F"/>
    <w:rsid w:val="75971868"/>
    <w:rsid w:val="75D06853"/>
    <w:rsid w:val="75D61321"/>
    <w:rsid w:val="775A6197"/>
    <w:rsid w:val="779622D0"/>
    <w:rsid w:val="77A2369A"/>
    <w:rsid w:val="78853672"/>
    <w:rsid w:val="78C114C6"/>
    <w:rsid w:val="78EB1B18"/>
    <w:rsid w:val="79CF04EE"/>
    <w:rsid w:val="7A2A1450"/>
    <w:rsid w:val="7B282B9D"/>
    <w:rsid w:val="7B40704A"/>
    <w:rsid w:val="7C007134"/>
    <w:rsid w:val="7C670D6F"/>
    <w:rsid w:val="7C7A4BE6"/>
    <w:rsid w:val="7C7B4BA7"/>
    <w:rsid w:val="7D21425A"/>
    <w:rsid w:val="7F96015F"/>
    <w:rsid w:val="7FA03C77"/>
    <w:rsid w:val="7FEC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7">
    <w:name w:val="Balloon Text"/>
    <w:basedOn w:val="1"/>
    <w:link w:val="20"/>
    <w:qFormat/>
    <w:uiPriority w:val="0"/>
    <w:rPr>
      <w:sz w:val="18"/>
      <w:szCs w:val="18"/>
    </w:rPr>
  </w:style>
  <w:style w:type="paragraph" w:styleId="8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basedOn w:val="12"/>
    <w:unhideWhenUsed/>
    <w:qFormat/>
    <w:uiPriority w:val="99"/>
    <w:rPr>
      <w:color w:val="0000FF"/>
      <w:u w:val="single"/>
    </w:rPr>
  </w:style>
  <w:style w:type="character" w:customStyle="1" w:styleId="16">
    <w:name w:val="页眉 字符"/>
    <w:basedOn w:val="12"/>
    <w:link w:val="9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2"/>
    <w:link w:val="8"/>
    <w:qFormat/>
    <w:uiPriority w:val="0"/>
    <w:rPr>
      <w:kern w:val="2"/>
      <w:sz w:val="18"/>
      <w:szCs w:val="18"/>
    </w:rPr>
  </w:style>
  <w:style w:type="paragraph" w:styleId="18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9">
    <w:name w:val="text_bwarv"/>
    <w:basedOn w:val="12"/>
    <w:autoRedefine/>
    <w:qFormat/>
    <w:uiPriority w:val="0"/>
  </w:style>
  <w:style w:type="character" w:customStyle="1" w:styleId="20">
    <w:name w:val="批注框文本 字符"/>
    <w:basedOn w:val="12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18673-5413-4B64-B71A-C16A5A4071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4198</Words>
  <Characters>4493</Characters>
  <Lines>24</Lines>
  <Paragraphs>6</Paragraphs>
  <TotalTime>12</TotalTime>
  <ScaleCrop>false</ScaleCrop>
  <LinksUpToDate>false</LinksUpToDate>
  <CharactersWithSpaces>6691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2023-06-29T03:27:00Z</dcterms:created>
  <dc:creator>Shen</dc:creator>
  <cp:lastModifiedBy>单色e彩绘</cp:lastModifiedBy>
  <cp:lastPrinted>2024-03-07T06:26:00Z</cp:lastPrinted>
  <dcterms:modified xsi:type="dcterms:W3CDTF">2026-07-16T03:05:49Z</dcterms:modified>
  <cp:revision>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E16FF9474C234176AD31FA5685418B66_13</vt:lpwstr>
  </property>
  <property fmtid="{D5CDD505-2E9C-101B-9397-08002B2CF9AE}" pid="4" name="KSOTemplateDocerSaveRecord">
    <vt:lpwstr>eyJoZGlkIjoiODAzZWZjMDQzMjFlYjJjY2Q4ZDMyZDgwODM2M2VmN2YiLCJ1c2VySWQiOiIyMzU1MDg1MDUifQ==</vt:lpwstr>
  </property>
</Properties>
</file>